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r>
        <w:rPr>
          <w:sz w:val="22"/>
          <w:szCs w:val="22"/>
        </w:rPr>
        <w:t>U skladu sa čl. 34. Odluke o organizaciji prometa (SN PGŽ 26/09, 32/09, 38/10 , 10/11,8/13 i 18/13),</w:t>
      </w:r>
    </w:p>
    <w:p>
      <w:pPr>
        <w:rPr>
          <w:sz w:val="22"/>
          <w:szCs w:val="22"/>
        </w:rPr>
      </w:pPr>
      <w:r>
        <w:rPr>
          <w:sz w:val="22"/>
          <w:szCs w:val="22"/>
        </w:rPr>
        <w:t>Općim uvjetima o javnim parkiralištima na kojima se vrši naplata,načinu naplate i visini naknade za parkiranje (SN PGŽ 22/13) ,  Lošinj usluge d.o.o. objavljuje:</w:t>
      </w:r>
    </w:p>
    <w:p>
      <w:pPr>
        <w:rPr>
          <w:sz w:val="22"/>
          <w:szCs w:val="22"/>
        </w:rPr>
      </w:pPr>
    </w:p>
    <w:p>
      <w:pPr>
        <w:jc w:val="center"/>
        <w:rPr>
          <w:b/>
          <w:sz w:val="28"/>
          <w:szCs w:val="28"/>
        </w:rPr>
      </w:pPr>
      <w:r>
        <w:rPr>
          <w:b/>
          <w:sz w:val="28"/>
          <w:szCs w:val="28"/>
        </w:rPr>
        <w:t>J A V N I   P O Z I V</w:t>
      </w:r>
    </w:p>
    <w:p>
      <w:pPr>
        <w:jc w:val="center"/>
        <w:rPr>
          <w:b/>
        </w:rPr>
      </w:pPr>
      <w:r>
        <w:rPr>
          <w:b/>
        </w:rPr>
        <w:t>za davanje u zakup ukupno 37 uređenih rezerviranih parkirališnih mjesta u V. Lošinju na lokaciji Šestavine</w:t>
      </w:r>
    </w:p>
    <w:p>
      <w:pPr>
        <w:rPr>
          <w:b/>
          <w:sz w:val="22"/>
          <w:szCs w:val="22"/>
        </w:rPr>
      </w:pPr>
    </w:p>
    <w:p>
      <w:pPr>
        <w:numPr>
          <w:ilvl w:val="0"/>
          <w:numId w:val="1"/>
        </w:numPr>
        <w:jc w:val="both"/>
        <w:rPr>
          <w:sz w:val="22"/>
          <w:szCs w:val="22"/>
        </w:rPr>
      </w:pPr>
      <w:r>
        <w:rPr>
          <w:sz w:val="22"/>
          <w:szCs w:val="22"/>
        </w:rPr>
        <w:t xml:space="preserve">Na javni poziv za davanje u zakup rezerviranih parkirališnih mjesta mogu se javiti sve fizičke ili pravne osobe </w:t>
      </w:r>
      <w:r>
        <w:rPr>
          <w:sz w:val="22"/>
          <w:szCs w:val="22"/>
          <w:u w:val="single"/>
        </w:rPr>
        <w:t>vlasnici nekretnina i vozila</w:t>
      </w:r>
      <w:r>
        <w:rPr>
          <w:sz w:val="22"/>
          <w:szCs w:val="22"/>
        </w:rPr>
        <w:t xml:space="preserve"> (vozilo registrirano na njihovo ime), koje imaju prijavljeno </w:t>
      </w:r>
      <w:r>
        <w:rPr>
          <w:sz w:val="22"/>
          <w:szCs w:val="22"/>
          <w:u w:val="single"/>
        </w:rPr>
        <w:t xml:space="preserve">prebivalište u Velom Lošinju </w:t>
      </w:r>
      <w:r>
        <w:rPr>
          <w:sz w:val="22"/>
          <w:szCs w:val="22"/>
        </w:rPr>
        <w:t xml:space="preserve">i koje nemaju prijašnjih dugovanja prema organizatoru parkiranja. </w:t>
      </w:r>
    </w:p>
    <w:p>
      <w:pPr>
        <w:ind w:left="720"/>
        <w:jc w:val="both"/>
        <w:rPr>
          <w:sz w:val="22"/>
          <w:szCs w:val="22"/>
        </w:rPr>
      </w:pPr>
      <w:r>
        <w:rPr>
          <w:sz w:val="22"/>
          <w:szCs w:val="22"/>
        </w:rPr>
        <w:t xml:space="preserve"> Osobe iz prethodnog stavka imaju pravo na rezervaciju jednog rezerviranog parkirališnog  mjesta i ukoliko ispunjavaju sve navedene uvjete.</w:t>
      </w:r>
    </w:p>
    <w:p>
      <w:pPr>
        <w:ind w:left="720"/>
        <w:jc w:val="both"/>
        <w:rPr>
          <w:sz w:val="22"/>
          <w:szCs w:val="22"/>
        </w:rPr>
      </w:pPr>
      <w:r>
        <w:rPr>
          <w:sz w:val="22"/>
          <w:szCs w:val="22"/>
        </w:rPr>
        <w:t>Osobe iz prethodnog stavka imaju pravo na rezervaciju više parkirališnih mjesta ukoliko imaju više vozila i ispunjavaju sve navedene uvjete i to samo ukoliko je nakon što je svim natjecateljima sa važećom ponudom sklopljen Ugovor o zakupu za jedno parkirno mjesto, preostalo još slobodnih mjesta.</w:t>
      </w:r>
    </w:p>
    <w:p>
      <w:pPr>
        <w:numPr>
          <w:ilvl w:val="0"/>
          <w:numId w:val="1"/>
        </w:numPr>
        <w:jc w:val="both"/>
        <w:rPr>
          <w:sz w:val="22"/>
          <w:szCs w:val="22"/>
        </w:rPr>
      </w:pPr>
      <w:r>
        <w:rPr>
          <w:sz w:val="22"/>
          <w:szCs w:val="22"/>
        </w:rPr>
        <w:t>Zahtjev za rezervirano parkirališno mjesto podnosi se za sva predviđena mjesta u  ulici.</w:t>
      </w:r>
    </w:p>
    <w:p>
      <w:pPr>
        <w:numPr>
          <w:ilvl w:val="0"/>
          <w:numId w:val="1"/>
        </w:numPr>
        <w:jc w:val="both"/>
        <w:rPr>
          <w:sz w:val="22"/>
          <w:szCs w:val="22"/>
        </w:rPr>
      </w:pPr>
      <w:r>
        <w:rPr>
          <w:sz w:val="22"/>
          <w:szCs w:val="22"/>
        </w:rPr>
        <w:t>Zahtjev iz ovog stavka obavezno mora sadržavati ponuđenu cijenu zakupa koja mora biti jednaka ili viša od početne koja iznosi 1.500,00 kn za uređena parkirališna mjesta.</w:t>
      </w:r>
    </w:p>
    <w:p>
      <w:pPr>
        <w:numPr>
          <w:ilvl w:val="0"/>
          <w:numId w:val="1"/>
        </w:numPr>
        <w:jc w:val="both"/>
        <w:rPr>
          <w:sz w:val="22"/>
          <w:szCs w:val="22"/>
        </w:rPr>
      </w:pPr>
      <w:r>
        <w:rPr>
          <w:sz w:val="22"/>
          <w:szCs w:val="22"/>
        </w:rPr>
        <w:t>Rezervirana parkirališna mjesta se daju u zakup na rok od godine dana.</w:t>
      </w:r>
    </w:p>
    <w:p>
      <w:pPr>
        <w:numPr>
          <w:ilvl w:val="0"/>
          <w:numId w:val="1"/>
        </w:numPr>
        <w:jc w:val="both"/>
        <w:rPr>
          <w:sz w:val="22"/>
          <w:szCs w:val="22"/>
        </w:rPr>
      </w:pPr>
      <w:r>
        <w:rPr>
          <w:sz w:val="22"/>
          <w:szCs w:val="22"/>
        </w:rPr>
        <w:t>U slučaju većeg broja zahtjeva, nego što je javnim pozivom predviđeno rezerviranih parkirališnih mjesta u određenoj zoni, korisnici rezerviranih parkirališnih mjesta će se odrediti temeljem kriterija ponuđene cijene.</w:t>
      </w:r>
    </w:p>
    <w:p>
      <w:pPr>
        <w:numPr>
          <w:ilvl w:val="0"/>
          <w:numId w:val="1"/>
        </w:numPr>
        <w:jc w:val="both"/>
        <w:rPr>
          <w:sz w:val="22"/>
          <w:szCs w:val="22"/>
        </w:rPr>
      </w:pPr>
      <w:r>
        <w:rPr>
          <w:sz w:val="22"/>
          <w:szCs w:val="22"/>
        </w:rPr>
        <w:t>Korisnik rezerviranog parkirnog mjesta koji je ponudio veću cijenu zakupa ima prvenstveno pravo izbora pojedinog mjesta iz ovog javnog poziva. Nakon što se formira rang lista najpovoljnijih ponuditelja, temeljem plasmana sklopiti će se Ugovor o zakupu za pojedino mjesto po izboru podnositelja zahtjeva sa najpovoljnijim ponudama.</w:t>
      </w:r>
    </w:p>
    <w:p>
      <w:pPr>
        <w:numPr>
          <w:ilvl w:val="0"/>
          <w:numId w:val="1"/>
        </w:numPr>
        <w:jc w:val="both"/>
        <w:rPr>
          <w:sz w:val="22"/>
          <w:szCs w:val="22"/>
        </w:rPr>
      </w:pPr>
      <w:r>
        <w:rPr>
          <w:sz w:val="22"/>
          <w:szCs w:val="22"/>
        </w:rPr>
        <w:t>Ukoliko osoba koja ostvaruje uvjete da se s njom sklopi ugovor o zakupu  rezerviranog parkirališnog mjesta odustane od sklapanja ugovora ili u predviđenom roku ne plati ponuđenu cijenu, gubi pravo na rezervirano parkirno mjestu i umjesto njega će se pozvati slijedeći najbolje rangirani podnositelj zahtjeva</w:t>
      </w:r>
    </w:p>
    <w:p>
      <w:pPr>
        <w:numPr>
          <w:ilvl w:val="0"/>
          <w:numId w:val="1"/>
        </w:numPr>
        <w:jc w:val="both"/>
        <w:rPr>
          <w:sz w:val="22"/>
          <w:szCs w:val="22"/>
        </w:rPr>
      </w:pPr>
      <w:r>
        <w:rPr>
          <w:sz w:val="22"/>
          <w:szCs w:val="22"/>
        </w:rPr>
        <w:t>Uvid u raspored pojedinih parkirališnih mjesta iz ovog poziva vidljiv je na planu parkirališnih mjesta za navedenu ulicu i koji se može vidjeti u prostorijama Lošinj-usluge d.o.o. ( Garibaldijeva 4) od 08,00-11,00 sati ili na web stranicama Lošinj usluga. Postupak oko sastavljanja rang liste podnositelja zahtjeva u suradnji sa organizatorom parkiranja provodi tročlano povjerenstvo u skladu sa Odlukom</w:t>
      </w:r>
    </w:p>
    <w:p>
      <w:pPr>
        <w:numPr>
          <w:ilvl w:val="0"/>
          <w:numId w:val="1"/>
        </w:numPr>
        <w:jc w:val="both"/>
        <w:rPr>
          <w:sz w:val="22"/>
          <w:szCs w:val="22"/>
        </w:rPr>
      </w:pPr>
      <w:r>
        <w:rPr>
          <w:spacing w:val="-3"/>
          <w:sz w:val="22"/>
          <w:szCs w:val="22"/>
        </w:rPr>
        <w:t>Uvjeti natječaja i natječajna dokumentacija mogu se podignuti</w:t>
      </w:r>
      <w:r>
        <w:rPr>
          <w:sz w:val="22"/>
          <w:szCs w:val="22"/>
        </w:rPr>
        <w:t xml:space="preserve"> u prostorijama Lošinj usluga ili na web stranici Lošinj usluga d.o.o. (www. losinj-usluge.hr). Zahtjevi se prilažu na propisanom obrascu .</w:t>
      </w:r>
    </w:p>
    <w:p>
      <w:pPr>
        <w:ind w:left="720"/>
        <w:jc w:val="both"/>
        <w:rPr>
          <w:sz w:val="22"/>
          <w:szCs w:val="22"/>
        </w:rPr>
      </w:pPr>
    </w:p>
    <w:p>
      <w:pPr>
        <w:jc w:val="both"/>
        <w:rPr>
          <w:sz w:val="22"/>
          <w:szCs w:val="22"/>
        </w:rPr>
      </w:pPr>
      <w:r>
        <w:rPr>
          <w:sz w:val="22"/>
          <w:szCs w:val="22"/>
        </w:rPr>
        <w:t>Dokumentacija koju je potrebno priložiti zahtjevu:</w:t>
      </w:r>
    </w:p>
    <w:p>
      <w:pPr>
        <w:numPr>
          <w:ilvl w:val="0"/>
          <w:numId w:val="2"/>
        </w:numPr>
        <w:jc w:val="both"/>
        <w:rPr>
          <w:sz w:val="22"/>
          <w:szCs w:val="22"/>
        </w:rPr>
      </w:pPr>
      <w:r>
        <w:rPr>
          <w:sz w:val="22"/>
          <w:szCs w:val="22"/>
        </w:rPr>
        <w:t>preslika prometne knjižice, preslika osobne iskaznice  vlasnika vozila, rješenje o invalidnosti i pravu na znak pristupačnosti, preslika vlasnika nekretnine ,uredno ispunjen obrazac iz kojeg je vidljiva ponuđena cijena zakupa</w:t>
      </w:r>
    </w:p>
    <w:p>
      <w:pPr>
        <w:ind w:left="480"/>
        <w:jc w:val="both"/>
        <w:rPr>
          <w:sz w:val="22"/>
          <w:szCs w:val="22"/>
        </w:rPr>
      </w:pPr>
    </w:p>
    <w:p>
      <w:pPr>
        <w:ind w:left="120"/>
        <w:jc w:val="both"/>
        <w:rPr>
          <w:sz w:val="22"/>
          <w:szCs w:val="22"/>
        </w:rPr>
      </w:pPr>
      <w:r>
        <w:rPr>
          <w:sz w:val="22"/>
          <w:szCs w:val="22"/>
        </w:rPr>
        <w:t>Rok za podnošenje zahtjeva iz ovog poziva ističe zaključno sa 23.07.2018 u 11:00.</w:t>
      </w:r>
    </w:p>
    <w:p>
      <w:pPr>
        <w:ind w:left="120"/>
        <w:jc w:val="both"/>
        <w:rPr>
          <w:sz w:val="22"/>
          <w:szCs w:val="22"/>
        </w:rPr>
      </w:pPr>
      <w:r>
        <w:rPr>
          <w:sz w:val="22"/>
          <w:szCs w:val="22"/>
        </w:rPr>
        <w:t>Zahtjevi iz ovog poziva podnose se u zatvorenoj koverti bez imena podnositelja sa natpisom „ Za zakup rezerviranog parkirališnog mjesta na Šestavini,  poštom ili osobno i to na adresu „Lošinj-usluge d.o.o., Garibaldijeva 4, 51550 M. Lošinj.</w:t>
      </w:r>
    </w:p>
    <w:p>
      <w:pPr>
        <w:ind w:left="120"/>
        <w:jc w:val="both"/>
        <w:rPr>
          <w:sz w:val="22"/>
          <w:szCs w:val="22"/>
        </w:rPr>
      </w:pPr>
    </w:p>
    <w:p>
      <w:pPr>
        <w:ind w:left="120"/>
        <w:jc w:val="both"/>
        <w:rPr>
          <w:sz w:val="22"/>
          <w:szCs w:val="22"/>
        </w:rPr>
      </w:pPr>
      <w:r>
        <w:rPr>
          <w:sz w:val="22"/>
          <w:szCs w:val="22"/>
        </w:rPr>
        <w:t>Nepotpune i zakašnjele ponude neće se razmatrati.</w:t>
      </w:r>
    </w:p>
    <w:p>
      <w:pPr>
        <w:ind w:left="120"/>
        <w:jc w:val="both"/>
        <w:rPr>
          <w:sz w:val="22"/>
          <w:szCs w:val="22"/>
        </w:rPr>
      </w:pPr>
    </w:p>
    <w:p>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LOŠINJ-USLUGE d.o.o.</w:t>
      </w:r>
    </w:p>
    <w:p>
      <w:pPr>
        <w:jc w:val="both"/>
        <w:rPr>
          <w:sz w:val="22"/>
          <w:szCs w:val="22"/>
        </w:rPr>
      </w:pPr>
    </w:p>
    <w:p/>
    <w:p>
      <w:pPr>
        <w:pStyle w:val="3"/>
        <w:tabs>
          <w:tab w:val="left" w:pos="4109"/>
          <w:tab w:val="clear" w:pos="0"/>
        </w:tabs>
        <w:suppressAutoHyphens w:val="0"/>
        <w:jc w:val="center"/>
        <w:rPr>
          <w:rFonts w:eastAsia="Times New Roman"/>
          <w:bCs/>
          <w:spacing w:val="-3"/>
          <w:szCs w:val="20"/>
        </w:rPr>
      </w:pPr>
      <w:r>
        <w:rPr>
          <w:rFonts w:eastAsia="Times New Roman"/>
          <w:spacing w:val="-3"/>
          <w:szCs w:val="20"/>
          <w:lang w:val="en-US"/>
        </w:rPr>
        <w:t xml:space="preserve">UVJETI UZ JAVNI POZIV ZA ZAKUP UREĐENIH PARKIRALIŠNIH MJESTA </w:t>
      </w:r>
      <w:r>
        <w:rPr>
          <w:rFonts w:eastAsia="Times New Roman"/>
          <w:spacing w:val="-3"/>
          <w:szCs w:val="20"/>
          <w:lang w:val="hr-HR"/>
        </w:rPr>
        <w:t xml:space="preserve">ŠESTAVINA </w:t>
      </w:r>
      <w:r>
        <w:rPr>
          <w:rFonts w:eastAsia="Times New Roman"/>
          <w:spacing w:val="-3"/>
          <w:szCs w:val="20"/>
          <w:lang w:val="en-US"/>
        </w:rPr>
        <w:t xml:space="preserve"> U </w:t>
      </w:r>
      <w:r>
        <w:rPr>
          <w:rFonts w:eastAsia="Times New Roman"/>
          <w:spacing w:val="-3"/>
          <w:szCs w:val="20"/>
          <w:lang w:val="hr-HR"/>
        </w:rPr>
        <w:t xml:space="preserve">VELOM </w:t>
      </w:r>
      <w:r>
        <w:rPr>
          <w:rFonts w:eastAsia="Times New Roman"/>
          <w:spacing w:val="-3"/>
          <w:szCs w:val="20"/>
          <w:lang w:val="en-US"/>
        </w:rPr>
        <w:t xml:space="preserve"> LOŠINJU , OBJAVLJEN DANA  16.07.2018.</w:t>
      </w:r>
      <w:r>
        <w:rPr>
          <w:rFonts w:eastAsia="Times New Roman"/>
          <w:bCs/>
          <w:spacing w:val="-3"/>
          <w:szCs w:val="20"/>
        </w:rPr>
        <w:t>, OTVOREN DO 23.07.2018.</w:t>
      </w:r>
    </w:p>
    <w:p>
      <w:pPr>
        <w:tabs>
          <w:tab w:val="left" w:pos="4109"/>
        </w:tabs>
        <w:jc w:val="both"/>
        <w:rPr>
          <w:szCs w:val="20"/>
          <w:lang w:val="en-AU"/>
        </w:rPr>
      </w:pPr>
    </w:p>
    <w:p>
      <w:pPr>
        <w:jc w:val="both"/>
      </w:pPr>
      <w:r>
        <w:rPr>
          <w:spacing w:val="-3"/>
          <w:szCs w:val="20"/>
        </w:rPr>
        <w:t>1.</w:t>
      </w:r>
      <w:r>
        <w:rPr>
          <w:spacing w:val="-3"/>
          <w:szCs w:val="20"/>
        </w:rPr>
        <w:tab/>
      </w:r>
      <w:r>
        <w:t>U slučaju većeg broja zahtjeva, nego što je javnim pozivom predviđeno rezerviranih parkirališnih mjesta u određenoj zoni, korisnici rezerviranih parkirališnih mjesta će se odrediti temeljem kriterija ponuđene cijene. Korisnik rezerviranog parkirnog mjesta koji je ponudio veću cijenu zakupa ima prvenstveno pravo izbora pojedinog mjesta iz ovog javnog poziva. Nakon što se formira rang lista najpovoljnijih ponuditelja, temeljem plasmana sklopiti će se Ugovor o zakupu za pojedino mjesto i to po izboru podnositelja zahtjeva sa najpovoljnijim ponudama.U slučaju da korisnik rezerviranog mjesta ima od prije zakupljeno parkirno mjesto na obližnjoj  lokaciji na svojem imenu, prednost pri odabiru imat će osobe koje nemaju još zakupljeno ni jedno parkirno mjesto.</w:t>
      </w:r>
    </w:p>
    <w:p>
      <w:pPr>
        <w:jc w:val="both"/>
        <w:rPr>
          <w:szCs w:val="22"/>
        </w:rPr>
      </w:pPr>
      <w:r>
        <w:rPr>
          <w:spacing w:val="-3"/>
          <w:szCs w:val="20"/>
        </w:rPr>
        <w:t xml:space="preserve">2.      </w:t>
      </w:r>
      <w:r>
        <w:rPr>
          <w:spacing w:val="-3"/>
          <w:szCs w:val="20"/>
          <w:lang w:val="hr-HR"/>
        </w:rPr>
        <w:tab/>
      </w:r>
      <w:r>
        <w:rPr>
          <w:spacing w:val="-3"/>
          <w:szCs w:val="20"/>
        </w:rPr>
        <w:t xml:space="preserve">Parkirališna mjesta se daju u zakup u stanju u kojem se nalaze. </w:t>
      </w:r>
    </w:p>
    <w:p>
      <w:pPr>
        <w:tabs>
          <w:tab w:val="left" w:pos="0"/>
        </w:tabs>
        <w:jc w:val="both"/>
        <w:rPr>
          <w:szCs w:val="20"/>
        </w:rPr>
      </w:pPr>
      <w:r>
        <w:rPr>
          <w:szCs w:val="20"/>
        </w:rPr>
        <w:t xml:space="preserve">3.   </w:t>
      </w:r>
      <w:r>
        <w:rPr>
          <w:szCs w:val="20"/>
          <w:lang w:val="hr-HR"/>
        </w:rPr>
        <w:t xml:space="preserve"> </w:t>
      </w:r>
      <w:r>
        <w:rPr>
          <w:szCs w:val="20"/>
          <w:lang w:val="hr-HR"/>
        </w:rPr>
        <w:tab/>
      </w:r>
      <w:r>
        <w:rPr>
          <w:szCs w:val="20"/>
        </w:rPr>
        <w:t>Odabrani ponuditelji biti će pozvani da u roku od 5 dana od otvaranja ponuda izjavom potvrde na izbor određenog parkirališnog mjesta.</w:t>
      </w:r>
    </w:p>
    <w:p>
      <w:pPr>
        <w:tabs>
          <w:tab w:val="left" w:pos="0"/>
        </w:tabs>
        <w:jc w:val="both"/>
        <w:rPr>
          <w:szCs w:val="20"/>
        </w:rPr>
      </w:pPr>
      <w:r>
        <w:rPr>
          <w:szCs w:val="20"/>
        </w:rPr>
        <w:t xml:space="preserve">4.     </w:t>
      </w:r>
      <w:r>
        <w:rPr>
          <w:szCs w:val="20"/>
          <w:lang w:val="hr-HR"/>
        </w:rPr>
        <w:tab/>
      </w:r>
      <w:r>
        <w:rPr>
          <w:szCs w:val="20"/>
        </w:rPr>
        <w:t>Nakon što odabrani ponuditelj izjavom izabere određeno rezervirano parkirališno mjesto u roku od 3 dana sklopiti će se ugovor o zakupu istog.</w:t>
      </w:r>
    </w:p>
    <w:p>
      <w:pPr>
        <w:tabs>
          <w:tab w:val="left" w:pos="0"/>
        </w:tabs>
        <w:jc w:val="both"/>
        <w:rPr>
          <w:szCs w:val="20"/>
        </w:rPr>
      </w:pPr>
      <w:r>
        <w:rPr>
          <w:szCs w:val="20"/>
        </w:rPr>
        <w:t>5.</w:t>
      </w:r>
      <w:r>
        <w:rPr>
          <w:szCs w:val="20"/>
          <w:lang w:val="hr-HR"/>
        </w:rPr>
        <w:tab/>
      </w:r>
      <w:r>
        <w:rPr>
          <w:szCs w:val="20"/>
        </w:rPr>
        <w:t xml:space="preserve">Ukoliko netko od odabranih ponuditelja u propisanim rokovima ne dostavi izjavu o odabiru parkirališnog mjesta ili ne pristupi sklapanju ugovora o zakupu , gubi pravo na zakup i njegovo mjesto na listi ponuditelja zauzet će prvi sljedeći ponuditelj sa liste sastavljene  temeljem kriterija ponuđene cijene. </w:t>
      </w:r>
    </w:p>
    <w:p>
      <w:pPr>
        <w:jc w:val="both"/>
        <w:rPr>
          <w:szCs w:val="22"/>
        </w:rPr>
      </w:pPr>
      <w:r>
        <w:rPr>
          <w:szCs w:val="20"/>
        </w:rPr>
        <w:t>6.</w:t>
      </w:r>
      <w:r>
        <w:rPr>
          <w:szCs w:val="20"/>
        </w:rPr>
        <w:tab/>
      </w:r>
      <w:r>
        <w:rPr>
          <w:szCs w:val="22"/>
        </w:rPr>
        <w:t>Za parkirna mjesta na Šestavini mogu se natjecati osobe sa stalnim prebivalištem u Velom Lošinju.</w:t>
      </w:r>
    </w:p>
    <w:p>
      <w:pPr>
        <w:tabs>
          <w:tab w:val="left" w:pos="0"/>
        </w:tabs>
        <w:jc w:val="both"/>
        <w:rPr>
          <w:szCs w:val="20"/>
          <w:u w:val="single"/>
        </w:rPr>
      </w:pPr>
      <w:r>
        <w:rPr>
          <w:szCs w:val="20"/>
        </w:rPr>
        <w:t>7.</w:t>
      </w:r>
      <w:r>
        <w:rPr>
          <w:szCs w:val="20"/>
        </w:rPr>
        <w:tab/>
      </w:r>
      <w:r>
        <w:rPr>
          <w:szCs w:val="20"/>
          <w:u w:val="single"/>
        </w:rPr>
        <w:t>Ponuda mora sadržavati</w:t>
      </w:r>
      <w:r>
        <w:rPr>
          <w:szCs w:val="20"/>
        </w:rPr>
        <w:t xml:space="preserve">: ime, prezime , OIB i adresu ponuditelja, ponudu sa izjavom o prihvaćanju uvjeta iz natječaja, dokaz o prebivalištu za fizičke osobe, dokaz o vlasništvu nad vozilom , dokaz o vlasništvu nekretnine i </w:t>
      </w:r>
      <w:r>
        <w:rPr>
          <w:szCs w:val="20"/>
          <w:u w:val="single"/>
        </w:rPr>
        <w:t>ponuđeni iznos cijene.</w:t>
      </w:r>
    </w:p>
    <w:p>
      <w:pPr>
        <w:tabs>
          <w:tab w:val="left" w:pos="0"/>
        </w:tabs>
        <w:jc w:val="both"/>
        <w:rPr>
          <w:szCs w:val="20"/>
        </w:rPr>
      </w:pPr>
      <w:r>
        <w:rPr>
          <w:szCs w:val="20"/>
        </w:rPr>
        <w:t>8.</w:t>
      </w:r>
      <w:r>
        <w:rPr>
          <w:szCs w:val="20"/>
        </w:rPr>
        <w:tab/>
      </w:r>
      <w:r>
        <w:rPr>
          <w:szCs w:val="20"/>
        </w:rPr>
        <w:t xml:space="preserve">Nepotpuna ponuda je ona koja ne sadržava jedan ili više gore navedenih obaveznih elemenata. Nepravovremena ponuda je ona koja je pristigla izvan roka propisanog natječajem. Nepotpune i nepravovremene ponude neće biti razmatrane. </w:t>
      </w:r>
    </w:p>
    <w:p>
      <w:pPr>
        <w:tabs>
          <w:tab w:val="left" w:pos="0"/>
        </w:tabs>
        <w:jc w:val="both"/>
        <w:rPr>
          <w:szCs w:val="20"/>
        </w:rPr>
      </w:pPr>
      <w:r>
        <w:rPr>
          <w:szCs w:val="20"/>
        </w:rPr>
        <w:t>9.</w:t>
      </w:r>
      <w:r>
        <w:rPr>
          <w:szCs w:val="20"/>
        </w:rPr>
        <w:tab/>
      </w:r>
      <w:r>
        <w:rPr>
          <w:szCs w:val="20"/>
        </w:rPr>
        <w:t xml:space="preserve">Ponuda treba biti dostavljena u </w:t>
      </w:r>
      <w:r>
        <w:rPr>
          <w:szCs w:val="20"/>
          <w:u w:val="single"/>
        </w:rPr>
        <w:t>dvostrukoj omotnici</w:t>
      </w:r>
      <w:r>
        <w:rPr>
          <w:szCs w:val="20"/>
        </w:rPr>
        <w:t>, na način da ponuđeni iznos cijene treba biti odvojen od ostalih elemenata ponude (navedenih u točki 8.) u zasebnoj omotnici. Otvaranje ponuda obaviti će se nakon proteka roka za natječaj 23.07.2018 u 13:00  sati, u sali Gradske knjižnice. Otvaranju ponuda mogu biti prisutni ponuditelji. Otvaranje ponuda i sastavljanje liste provodi Povjerenstvo.</w:t>
      </w:r>
    </w:p>
    <w:p>
      <w:pPr>
        <w:rPr>
          <w:szCs w:val="20"/>
        </w:rPr>
      </w:pPr>
    </w:p>
    <w:p>
      <w:pPr>
        <w:tabs>
          <w:tab w:val="left" w:pos="0"/>
        </w:tabs>
        <w:jc w:val="both"/>
        <w:rPr>
          <w:szCs w:val="20"/>
        </w:rPr>
      </w:pPr>
      <w:r>
        <w:rPr>
          <w:szCs w:val="20"/>
        </w:rPr>
        <w:tab/>
      </w:r>
      <w:r>
        <w:rPr>
          <w:szCs w:val="20"/>
        </w:rPr>
        <w:tab/>
      </w:r>
    </w:p>
    <w:p>
      <w:pPr>
        <w:tabs>
          <w:tab w:val="left" w:pos="0"/>
        </w:tabs>
        <w:jc w:val="both"/>
        <w:rPr>
          <w:szCs w:val="20"/>
        </w:rPr>
      </w:pPr>
    </w:p>
    <w:p>
      <w:pPr>
        <w:tabs>
          <w:tab w:val="left" w:pos="0"/>
        </w:tabs>
        <w:jc w:val="both"/>
        <w:rPr>
          <w:szCs w:val="20"/>
        </w:rPr>
      </w:pPr>
      <w:r>
        <w:rPr>
          <w:szCs w:val="20"/>
        </w:rPr>
        <w:tab/>
      </w:r>
      <w:r>
        <w:rPr>
          <w:szCs w:val="20"/>
        </w:rPr>
        <w:tab/>
      </w:r>
      <w:r>
        <w:rPr>
          <w:szCs w:val="20"/>
        </w:rPr>
        <w:tab/>
      </w:r>
      <w:r>
        <w:rPr>
          <w:szCs w:val="20"/>
        </w:rPr>
        <w:tab/>
      </w:r>
    </w:p>
    <w:p>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LOŠINJ USLUGE d.o.o.</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widowControl w:val="0"/>
        <w:suppressAutoHyphens/>
        <w:rPr>
          <w:rFonts w:ascii="Tahoma" w:hAnsi="Tahoma"/>
          <w:sz w:val="22"/>
          <w:szCs w:val="20"/>
        </w:rPr>
      </w:pPr>
      <w:r>
        <w:rPr>
          <w:rFonts w:ascii="Tahoma" w:hAnsi="Tahoma"/>
          <w:sz w:val="22"/>
          <w:szCs w:val="20"/>
        </w:rPr>
        <w:t>Ponuditelj:</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r>
        <w:rPr>
          <w:rFonts w:ascii="Tahoma" w:hAnsi="Tahoma"/>
          <w:sz w:val="22"/>
          <w:szCs w:val="20"/>
        </w:rPr>
        <w:t>______________________________________</w:t>
      </w:r>
    </w:p>
    <w:p>
      <w:pPr>
        <w:widowControl w:val="0"/>
        <w:suppressAutoHyphens/>
        <w:ind w:firstLine="720"/>
        <w:jc w:val="both"/>
        <w:rPr>
          <w:rFonts w:ascii="Tahoma" w:hAnsi="Tahoma"/>
          <w:sz w:val="22"/>
          <w:szCs w:val="20"/>
        </w:rPr>
      </w:pPr>
      <w:r>
        <w:rPr>
          <w:rFonts w:ascii="Tahoma" w:hAnsi="Tahoma"/>
          <w:sz w:val="22"/>
          <w:szCs w:val="20"/>
        </w:rPr>
        <w:t>(ime i prezime)</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r>
        <w:rPr>
          <w:rFonts w:ascii="Tahoma" w:hAnsi="Tahoma"/>
          <w:sz w:val="22"/>
          <w:szCs w:val="20"/>
        </w:rPr>
        <w:t>______________________________________</w:t>
      </w:r>
    </w:p>
    <w:p>
      <w:pPr>
        <w:widowControl w:val="0"/>
        <w:suppressAutoHyphens/>
        <w:jc w:val="both"/>
        <w:rPr>
          <w:rFonts w:ascii="Tahoma" w:hAnsi="Tahoma"/>
          <w:sz w:val="22"/>
          <w:szCs w:val="20"/>
        </w:rPr>
      </w:pPr>
    </w:p>
    <w:p>
      <w:pPr>
        <w:widowControl w:val="0"/>
        <w:suppressAutoHyphens/>
        <w:ind w:firstLine="700" w:firstLineChars="0"/>
        <w:jc w:val="both"/>
        <w:rPr>
          <w:rFonts w:ascii="Tahoma" w:hAnsi="Tahoma"/>
          <w:sz w:val="22"/>
          <w:szCs w:val="20"/>
        </w:rPr>
      </w:pPr>
      <w:r>
        <w:rPr>
          <w:rFonts w:ascii="Tahoma" w:hAnsi="Tahoma"/>
          <w:sz w:val="22"/>
          <w:szCs w:val="20"/>
        </w:rPr>
        <w:t>(adresa, OIB)</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r>
        <w:rPr>
          <w:rFonts w:ascii="Tahoma" w:hAnsi="Tahoma"/>
          <w:sz w:val="22"/>
          <w:szCs w:val="20"/>
          <w:lang w:val="hr-HR"/>
        </w:rPr>
        <w:t>__________</w:t>
      </w:r>
      <w:bookmarkStart w:id="0" w:name="_GoBack"/>
      <w:bookmarkEnd w:id="0"/>
      <w:r>
        <w:rPr>
          <w:rFonts w:ascii="Tahoma" w:hAnsi="Tahoma"/>
          <w:sz w:val="22"/>
          <w:szCs w:val="20"/>
        </w:rPr>
        <w:t>____________________________</w:t>
      </w:r>
    </w:p>
    <w:p>
      <w:pPr>
        <w:widowControl w:val="0"/>
        <w:suppressAutoHyphens/>
        <w:jc w:val="both"/>
        <w:rPr>
          <w:rFonts w:ascii="Tahoma" w:hAnsi="Tahoma"/>
          <w:sz w:val="22"/>
          <w:szCs w:val="20"/>
        </w:rPr>
      </w:pPr>
      <w:r>
        <w:rPr>
          <w:rFonts w:ascii="Tahoma" w:hAnsi="Tahoma"/>
          <w:sz w:val="22"/>
          <w:szCs w:val="20"/>
        </w:rPr>
        <w:t xml:space="preserve">     (br. telefona za kontakt)</w:t>
      </w:r>
    </w:p>
    <w:p>
      <w:pPr>
        <w:widowControl w:val="0"/>
        <w:suppressAutoHyphens/>
        <w:jc w:val="both"/>
        <w:rPr>
          <w:rFonts w:ascii="Tahoma" w:hAnsi="Tahoma"/>
          <w:sz w:val="22"/>
          <w:szCs w:val="20"/>
        </w:rPr>
      </w:pPr>
      <w:r>
        <w:rPr>
          <w:rFonts w:ascii="Tahoma" w:hAnsi="Tahoma"/>
          <w:sz w:val="22"/>
          <w:szCs w:val="20"/>
        </w:rPr>
        <w:t xml:space="preserve"> </w:t>
      </w:r>
      <w:r>
        <w:rPr>
          <w:rFonts w:ascii="Tahoma" w:hAnsi="Tahoma"/>
          <w:sz w:val="22"/>
          <w:szCs w:val="20"/>
        </w:rPr>
        <w:tab/>
      </w:r>
    </w:p>
    <w:p>
      <w:pPr>
        <w:widowControl w:val="0"/>
        <w:suppressAutoHyphens/>
        <w:ind w:firstLine="720"/>
        <w:jc w:val="both"/>
        <w:rPr>
          <w:rFonts w:ascii="Tahoma" w:hAnsi="Tahoma"/>
          <w:b/>
          <w:sz w:val="22"/>
          <w:szCs w:val="20"/>
        </w:rPr>
      </w:pP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b/>
          <w:sz w:val="22"/>
          <w:szCs w:val="20"/>
        </w:rPr>
        <w:t>LOŠINJ USLUGE d.o.o.</w:t>
      </w:r>
    </w:p>
    <w:p>
      <w:pPr>
        <w:widowControl w:val="0"/>
        <w:suppressAutoHyphens/>
        <w:ind w:firstLine="720"/>
        <w:jc w:val="both"/>
        <w:rPr>
          <w:rFonts w:ascii="Tahoma" w:hAnsi="Tahoma"/>
          <w:b/>
          <w:sz w:val="22"/>
          <w:szCs w:val="20"/>
        </w:rPr>
      </w:pPr>
      <w:r>
        <w:rPr>
          <w:rFonts w:ascii="Tahoma" w:hAnsi="Tahoma"/>
          <w:b/>
          <w:sz w:val="22"/>
          <w:szCs w:val="20"/>
        </w:rPr>
        <w:t xml:space="preserve">                                                       Garibaldijeva 4</w:t>
      </w:r>
    </w:p>
    <w:p>
      <w:pPr>
        <w:widowControl w:val="0"/>
        <w:suppressAutoHyphens/>
        <w:jc w:val="both"/>
        <w:rPr>
          <w:rFonts w:ascii="Tahoma" w:hAnsi="Tahoma"/>
          <w:b/>
          <w:sz w:val="22"/>
          <w:szCs w:val="20"/>
        </w:rPr>
      </w:pPr>
      <w:r>
        <w:rPr>
          <w:rFonts w:ascii="Tahoma" w:hAnsi="Tahoma"/>
          <w:b/>
          <w:sz w:val="22"/>
          <w:szCs w:val="20"/>
        </w:rPr>
        <w:tab/>
      </w:r>
      <w:r>
        <w:rPr>
          <w:rFonts w:ascii="Tahoma" w:hAnsi="Tahoma"/>
          <w:b/>
          <w:sz w:val="22"/>
          <w:szCs w:val="20"/>
        </w:rPr>
        <w:tab/>
      </w:r>
      <w:r>
        <w:rPr>
          <w:rFonts w:ascii="Tahoma" w:hAnsi="Tahoma"/>
          <w:b/>
          <w:sz w:val="22"/>
          <w:szCs w:val="20"/>
        </w:rPr>
        <w:tab/>
      </w:r>
      <w:r>
        <w:rPr>
          <w:rFonts w:ascii="Tahoma" w:hAnsi="Tahoma"/>
          <w:b/>
          <w:sz w:val="22"/>
          <w:szCs w:val="20"/>
        </w:rPr>
        <w:tab/>
      </w:r>
      <w:r>
        <w:rPr>
          <w:rFonts w:ascii="Tahoma" w:hAnsi="Tahoma"/>
          <w:b/>
          <w:sz w:val="22"/>
          <w:szCs w:val="20"/>
        </w:rPr>
        <w:tab/>
      </w:r>
      <w:r>
        <w:rPr>
          <w:rFonts w:ascii="Tahoma" w:hAnsi="Tahoma"/>
          <w:b/>
          <w:sz w:val="22"/>
          <w:szCs w:val="20"/>
        </w:rPr>
        <w:tab/>
      </w:r>
      <w:r>
        <w:rPr>
          <w:rFonts w:ascii="Tahoma" w:hAnsi="Tahoma"/>
          <w:b/>
          <w:sz w:val="22"/>
          <w:szCs w:val="20"/>
        </w:rPr>
        <w:t>51550 Mali Lošinj</w:t>
      </w:r>
    </w:p>
    <w:p>
      <w:pPr>
        <w:widowControl w:val="0"/>
        <w:suppressAutoHyphens/>
        <w:jc w:val="both"/>
        <w:rPr>
          <w:rFonts w:ascii="Tahoma" w:hAnsi="Tahoma"/>
          <w:b/>
          <w:sz w:val="22"/>
          <w:szCs w:val="20"/>
        </w:rPr>
      </w:pPr>
    </w:p>
    <w:p>
      <w:pPr>
        <w:widowControl w:val="0"/>
        <w:suppressAutoHyphens/>
        <w:jc w:val="both"/>
        <w:rPr>
          <w:rFonts w:ascii="Tahoma" w:hAnsi="Tahoma"/>
          <w:b/>
          <w:sz w:val="22"/>
          <w:szCs w:val="20"/>
        </w:rPr>
      </w:pPr>
    </w:p>
    <w:p>
      <w:pPr>
        <w:keepNext/>
        <w:widowControl w:val="0"/>
        <w:suppressAutoHyphens/>
        <w:jc w:val="center"/>
        <w:outlineLvl w:val="0"/>
        <w:rPr>
          <w:rFonts w:ascii="Tahoma" w:hAnsi="Tahoma"/>
          <w:b/>
          <w:sz w:val="22"/>
          <w:szCs w:val="20"/>
        </w:rPr>
      </w:pPr>
      <w:r>
        <w:rPr>
          <w:rFonts w:ascii="Tahoma" w:hAnsi="Tahoma"/>
          <w:b/>
          <w:sz w:val="22"/>
          <w:szCs w:val="20"/>
        </w:rPr>
        <w:t>P O N U D A</w:t>
      </w:r>
    </w:p>
    <w:p>
      <w:pPr>
        <w:widowControl w:val="0"/>
        <w:suppressAutoHyphens/>
        <w:jc w:val="center"/>
        <w:rPr>
          <w:rFonts w:ascii="Tahoma" w:hAnsi="Tahoma"/>
          <w:b/>
          <w:sz w:val="22"/>
          <w:szCs w:val="20"/>
        </w:rPr>
      </w:pPr>
    </w:p>
    <w:p>
      <w:pPr>
        <w:widowControl w:val="0"/>
        <w:suppressAutoHyphens/>
        <w:jc w:val="center"/>
        <w:rPr>
          <w:rFonts w:ascii="Tahoma" w:hAnsi="Tahoma"/>
          <w:b/>
          <w:sz w:val="22"/>
          <w:szCs w:val="20"/>
        </w:rPr>
      </w:pPr>
      <w:r>
        <w:rPr>
          <w:rFonts w:ascii="Tahoma" w:hAnsi="Tahoma"/>
          <w:b/>
          <w:sz w:val="22"/>
          <w:szCs w:val="20"/>
        </w:rPr>
        <w:t xml:space="preserve">ZA ZAKUP PARKIRALIŠNOG MJESTA NA ŠESTAVINI U VELOM LOŠINJU </w:t>
      </w:r>
    </w:p>
    <w:p>
      <w:pPr>
        <w:widowControl w:val="0"/>
        <w:suppressAutoHyphens/>
        <w:jc w:val="center"/>
        <w:rPr>
          <w:rFonts w:ascii="Tahoma" w:hAnsi="Tahoma"/>
          <w:sz w:val="22"/>
          <w:szCs w:val="20"/>
        </w:rPr>
      </w:pPr>
    </w:p>
    <w:p>
      <w:pPr>
        <w:widowControl w:val="0"/>
        <w:suppressAutoHyphens/>
        <w:rPr>
          <w:rFonts w:ascii="Tahoma" w:hAnsi="Tahoma"/>
          <w:sz w:val="22"/>
          <w:szCs w:val="20"/>
        </w:rPr>
      </w:pPr>
    </w:p>
    <w:p>
      <w:pPr>
        <w:widowControl w:val="0"/>
        <w:pBdr>
          <w:bottom w:val="single" w:color="000000" w:sz="8" w:space="6"/>
        </w:pBdr>
        <w:suppressAutoHyphens/>
        <w:jc w:val="both"/>
        <w:rPr>
          <w:rFonts w:ascii="Tahoma" w:hAnsi="Tahoma"/>
          <w:sz w:val="22"/>
          <w:szCs w:val="20"/>
        </w:rPr>
      </w:pPr>
      <w:r>
        <w:rPr>
          <w:rFonts w:ascii="Tahoma" w:hAnsi="Tahoma"/>
          <w:sz w:val="22"/>
          <w:szCs w:val="20"/>
        </w:rPr>
        <w:tab/>
      </w:r>
      <w:r>
        <w:rPr>
          <w:rFonts w:ascii="Tahoma" w:hAnsi="Tahoma"/>
          <w:sz w:val="22"/>
          <w:szCs w:val="20"/>
          <w:lang w:val="en-AU"/>
        </w:rPr>
        <w:t>P</w:t>
      </w:r>
      <w:r>
        <w:rPr>
          <w:rFonts w:ascii="Tahoma" w:hAnsi="Tahoma"/>
          <w:sz w:val="22"/>
          <w:szCs w:val="20"/>
        </w:rPr>
        <w:t xml:space="preserve">onuda za jednogodišnji zakup parkirališnog mjesta na Šestavini odnosi </w:t>
      </w:r>
    </w:p>
    <w:p>
      <w:pPr>
        <w:widowControl w:val="0"/>
        <w:pBdr>
          <w:bottom w:val="single" w:color="000000" w:sz="8" w:space="6"/>
        </w:pBdr>
        <w:suppressAutoHyphens/>
        <w:jc w:val="both"/>
        <w:rPr>
          <w:rFonts w:ascii="Tahoma" w:hAnsi="Tahoma"/>
          <w:sz w:val="22"/>
          <w:szCs w:val="20"/>
        </w:rPr>
      </w:pPr>
    </w:p>
    <w:p>
      <w:pPr>
        <w:widowControl w:val="0"/>
        <w:pBdr>
          <w:bottom w:val="single" w:color="000000" w:sz="8" w:space="6"/>
        </w:pBdr>
        <w:suppressAutoHyphens/>
        <w:jc w:val="both"/>
        <w:rPr>
          <w:rFonts w:ascii="Tahoma" w:hAnsi="Tahoma"/>
          <w:sz w:val="22"/>
          <w:szCs w:val="20"/>
        </w:rPr>
      </w:pPr>
      <w:r>
        <w:rPr>
          <w:rFonts w:ascii="Tahoma" w:hAnsi="Tahoma"/>
          <w:sz w:val="22"/>
          <w:szCs w:val="20"/>
        </w:rPr>
        <w:t xml:space="preserve">se na vozilo registarske oznake: </w:t>
      </w:r>
    </w:p>
    <w:p>
      <w:pPr>
        <w:widowControl w:val="0"/>
        <w:suppressAutoHyphens/>
        <w:jc w:val="both"/>
        <w:rPr>
          <w:rFonts w:ascii="Tahoma" w:hAnsi="Tahoma"/>
          <w:sz w:val="22"/>
          <w:szCs w:val="20"/>
          <w:lang w:val="en-AU"/>
        </w:rPr>
      </w:pPr>
    </w:p>
    <w:p>
      <w:pPr>
        <w:widowControl w:val="0"/>
        <w:suppressAutoHyphens/>
        <w:jc w:val="both"/>
        <w:rPr>
          <w:rFonts w:ascii="Tahoma" w:hAnsi="Tahoma"/>
          <w:sz w:val="22"/>
          <w:szCs w:val="20"/>
        </w:rPr>
      </w:pPr>
      <w:r>
        <w:rPr>
          <w:rFonts w:ascii="Tahoma" w:hAnsi="Tahoma"/>
          <w:sz w:val="22"/>
          <w:szCs w:val="20"/>
        </w:rPr>
        <w:t>Zainteresiran sam za jednogodišnji zakup (</w:t>
      </w:r>
      <w:r>
        <w:rPr>
          <w:rFonts w:ascii="Tahoma" w:hAnsi="Tahoma"/>
          <w:sz w:val="18"/>
          <w:szCs w:val="18"/>
        </w:rPr>
        <w:t>zaokružit</w:t>
      </w:r>
      <w:r>
        <w:rPr>
          <w:rFonts w:ascii="Tahoma" w:hAnsi="Tahoma"/>
          <w:sz w:val="22"/>
          <w:szCs w:val="20"/>
        </w:rPr>
        <w:t xml:space="preserve">i): </w:t>
      </w:r>
    </w:p>
    <w:p>
      <w:pPr>
        <w:widowControl w:val="0"/>
        <w:numPr>
          <w:ilvl w:val="0"/>
          <w:numId w:val="3"/>
        </w:numPr>
        <w:suppressAutoHyphens/>
        <w:contextualSpacing/>
        <w:jc w:val="both"/>
        <w:rPr>
          <w:rFonts w:ascii="Tahoma" w:hAnsi="Tahoma"/>
          <w:sz w:val="22"/>
          <w:szCs w:val="20"/>
        </w:rPr>
      </w:pPr>
      <w:r>
        <w:rPr>
          <w:rFonts w:ascii="Tahoma" w:hAnsi="Tahoma"/>
          <w:sz w:val="22"/>
          <w:szCs w:val="20"/>
        </w:rPr>
        <w:t>uređenog parkirališnog mjesta za koja je određena minimalna godišnja cijena zakupa u iznosu 1.500,00 kn,</w:t>
      </w:r>
    </w:p>
    <w:p>
      <w:pPr>
        <w:widowControl w:val="0"/>
        <w:suppressAutoHyphens/>
        <w:ind w:left="720"/>
        <w:contextualSpacing/>
        <w:jc w:val="both"/>
        <w:rPr>
          <w:rFonts w:ascii="Tahoma" w:hAnsi="Tahoma"/>
          <w:sz w:val="22"/>
          <w:szCs w:val="20"/>
        </w:rPr>
      </w:pPr>
    </w:p>
    <w:p>
      <w:pPr>
        <w:widowControl w:val="0"/>
        <w:suppressAutoHyphens/>
        <w:jc w:val="both"/>
        <w:rPr>
          <w:rFonts w:ascii="Tahoma" w:hAnsi="Tahoma"/>
          <w:sz w:val="22"/>
          <w:szCs w:val="20"/>
          <w:u w:val="single"/>
        </w:rPr>
      </w:pPr>
      <w:r>
        <w:rPr>
          <w:rFonts w:ascii="Tahoma" w:hAnsi="Tahoma"/>
          <w:sz w:val="22"/>
          <w:szCs w:val="20"/>
        </w:rPr>
        <w:t xml:space="preserve">Poznati su mi uvjeti zakupa, te </w:t>
      </w:r>
      <w:r>
        <w:rPr>
          <w:rFonts w:ascii="Tahoma" w:hAnsi="Tahoma"/>
          <w:sz w:val="22"/>
          <w:szCs w:val="20"/>
          <w:u w:val="single"/>
        </w:rPr>
        <w:t>izjavljujem da prihvaćam uvjete iz javnog poziva.</w:t>
      </w:r>
    </w:p>
    <w:p>
      <w:pPr>
        <w:widowControl w:val="0"/>
        <w:suppressAutoHyphens/>
        <w:jc w:val="both"/>
        <w:rPr>
          <w:rFonts w:ascii="Tahoma" w:hAnsi="Tahoma"/>
          <w:sz w:val="22"/>
          <w:szCs w:val="20"/>
        </w:rPr>
      </w:pPr>
      <w:r>
        <w:rPr>
          <w:rFonts w:ascii="Tahoma" w:hAnsi="Tahoma"/>
          <w:sz w:val="22"/>
          <w:szCs w:val="20"/>
        </w:rPr>
        <w:tab/>
      </w:r>
    </w:p>
    <w:p>
      <w:pPr>
        <w:widowControl w:val="0"/>
        <w:suppressAutoHyphens/>
        <w:jc w:val="both"/>
        <w:rPr>
          <w:rFonts w:ascii="Tahoma" w:hAnsi="Tahoma"/>
          <w:sz w:val="22"/>
          <w:szCs w:val="20"/>
        </w:rPr>
      </w:pPr>
      <w:r>
        <w:rPr>
          <w:rFonts w:ascii="Tahoma" w:hAnsi="Tahoma"/>
          <w:sz w:val="22"/>
          <w:szCs w:val="20"/>
        </w:rPr>
        <w:tab/>
      </w:r>
      <w:r>
        <w:rPr>
          <w:rFonts w:ascii="Tahoma" w:hAnsi="Tahoma"/>
          <w:sz w:val="22"/>
          <w:szCs w:val="20"/>
        </w:rPr>
        <w:t>Kao dokaz o prebivalištu prilažem važeći dokument (preslika osobne iskaznice ili putovnice), odnosno kao dokaz o registraciji pravne osobe, prilažem ovjereno Rješenje o upisu u sudski registar, kao dokaz vlasništva vozila prilažem presliku prometne dozvole vozila(eventualno dokaz o lizingu), kao dokaz o invalidnosti rješenje o pravu na isticanje znaka pristupačnosti na vozilu,dokaz o vlasništvu nekretnine.</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r>
        <w:rPr>
          <w:rFonts w:ascii="Tahoma" w:hAnsi="Tahoma"/>
          <w:sz w:val="22"/>
          <w:szCs w:val="20"/>
        </w:rPr>
        <w:t>Sastavni dio ove ponude su segmenti s ponuđenim cijenama u prilogu.</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r>
        <w:rPr>
          <w:rFonts w:ascii="Tahoma" w:hAnsi="Tahoma"/>
          <w:sz w:val="22"/>
          <w:szCs w:val="20"/>
        </w:rPr>
        <w:tab/>
      </w:r>
    </w:p>
    <w:p>
      <w:pPr>
        <w:widowControl w:val="0"/>
        <w:suppressAutoHyphens/>
        <w:jc w:val="both"/>
        <w:rPr>
          <w:rFonts w:ascii="Tahoma" w:hAnsi="Tahoma"/>
          <w:sz w:val="22"/>
          <w:szCs w:val="20"/>
        </w:rPr>
      </w:pPr>
      <w:r>
        <w:rPr>
          <w:rFonts w:ascii="Tahoma" w:hAnsi="Tahoma"/>
          <w:sz w:val="22"/>
          <w:szCs w:val="20"/>
        </w:rPr>
        <w:t xml:space="preserve"> </w:t>
      </w:r>
    </w:p>
    <w:p>
      <w:pPr>
        <w:widowControl w:val="0"/>
        <w:suppressAutoHyphens/>
        <w:jc w:val="both"/>
        <w:rPr>
          <w:rFonts w:ascii="Tahoma" w:hAnsi="Tahoma"/>
          <w:sz w:val="22"/>
          <w:szCs w:val="20"/>
        </w:rPr>
      </w:pP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_________________________________</w:t>
      </w:r>
    </w:p>
    <w:p>
      <w:pPr>
        <w:widowControl w:val="0"/>
        <w:suppressAutoHyphens/>
        <w:jc w:val="both"/>
        <w:rPr>
          <w:rFonts w:ascii="Tahoma" w:hAnsi="Tahoma"/>
          <w:sz w:val="22"/>
          <w:szCs w:val="20"/>
        </w:rPr>
      </w:pP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 xml:space="preserve">(potpis natjecatelja, ili pečat </w:t>
      </w:r>
    </w:p>
    <w:p>
      <w:pPr>
        <w:widowControl w:val="0"/>
        <w:suppressAutoHyphens/>
        <w:jc w:val="both"/>
        <w:rPr>
          <w:rFonts w:ascii="Tahoma" w:hAnsi="Tahoma"/>
          <w:position w:val="6"/>
          <w:sz w:val="22"/>
          <w:szCs w:val="20"/>
          <w:lang w:val="en-AU"/>
        </w:rPr>
      </w:pP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pravne osobe)</w:t>
      </w:r>
    </w:p>
    <w:p>
      <w:pPr>
        <w:widowControl w:val="0"/>
        <w:suppressAutoHyphens/>
        <w:rPr>
          <w:rFonts w:ascii="Tahoma" w:hAnsi="Tahoma"/>
          <w:position w:val="6"/>
          <w:sz w:val="22"/>
          <w:szCs w:val="20"/>
          <w:lang w:val="en-AU"/>
        </w:rPr>
      </w:pPr>
    </w:p>
    <w:p>
      <w:pPr>
        <w:widowControl w:val="0"/>
        <w:suppressAutoHyphens/>
        <w:rPr>
          <w:rFonts w:ascii="Tahoma" w:hAnsi="Tahoma"/>
          <w:position w:val="6"/>
          <w:sz w:val="22"/>
          <w:szCs w:val="20"/>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p>
    <w:p>
      <w:pPr>
        <w:widowControl w:val="0"/>
        <w:suppressAutoHyphens/>
        <w:jc w:val="center"/>
        <w:rPr>
          <w:rFonts w:ascii="Tahoma" w:hAnsi="Tahoma"/>
          <w:position w:val="6"/>
          <w:sz w:val="28"/>
          <w:szCs w:val="28"/>
          <w:lang w:val="en-AU"/>
        </w:rPr>
      </w:pPr>
      <w:r>
        <w:rPr>
          <w:rFonts w:ascii="Tahoma" w:hAnsi="Tahoma"/>
          <w:position w:val="6"/>
          <w:sz w:val="28"/>
          <w:szCs w:val="28"/>
          <w:lang w:val="en-AU"/>
        </w:rPr>
        <w:t>1 PONUĐENA CIJENA</w:t>
      </w:r>
    </w:p>
    <w:p>
      <w:pPr>
        <w:widowControl w:val="0"/>
        <w:suppressAutoHyphens/>
        <w:rPr>
          <w:rFonts w:ascii="Tahoma" w:hAnsi="Tahoma"/>
          <w:position w:val="6"/>
          <w:sz w:val="22"/>
          <w:szCs w:val="20"/>
          <w:lang w:val="en-AU"/>
        </w:rPr>
      </w:pPr>
    </w:p>
    <w:tbl>
      <w:tblPr>
        <w:tblStyle w:val="5"/>
        <w:tblW w:w="9053" w:type="dxa"/>
        <w:tblInd w:w="55" w:type="dxa"/>
        <w:tblLayout w:type="fixed"/>
        <w:tblCellMar>
          <w:top w:w="55" w:type="dxa"/>
          <w:left w:w="55" w:type="dxa"/>
          <w:bottom w:w="55" w:type="dxa"/>
          <w:right w:w="55" w:type="dxa"/>
        </w:tblCellMar>
      </w:tblPr>
      <w:tblGrid>
        <w:gridCol w:w="9053"/>
      </w:tblGrid>
      <w:tr>
        <w:tblPrEx>
          <w:tblLayout w:type="fixed"/>
          <w:tblCellMar>
            <w:top w:w="55" w:type="dxa"/>
            <w:left w:w="55" w:type="dxa"/>
            <w:bottom w:w="55" w:type="dxa"/>
            <w:right w:w="55" w:type="dxa"/>
          </w:tblCellMar>
        </w:tblPrEx>
        <w:trPr>
          <w:trHeight w:val="4766" w:hRule="atLeast"/>
        </w:trPr>
        <w:tc>
          <w:tcPr>
            <w:tcW w:w="9053" w:type="dxa"/>
            <w:tcBorders>
              <w:top w:val="single" w:color="000000" w:sz="0" w:space="0"/>
              <w:left w:val="single" w:color="000000" w:sz="0" w:space="0"/>
              <w:bottom w:val="single" w:color="000000" w:sz="0" w:space="0"/>
              <w:right w:val="single" w:color="000000" w:sz="0" w:space="0"/>
            </w:tcBorders>
          </w:tcPr>
          <w:p>
            <w:pPr>
              <w:widowControl w:val="0"/>
              <w:suppressLineNumbers/>
              <w:suppressAutoHyphens/>
              <w:snapToGrid w:val="0"/>
              <w:rPr>
                <w:rFonts w:ascii="Tahoma" w:hAnsi="Tahoma"/>
                <w:sz w:val="22"/>
                <w:szCs w:val="20"/>
                <w:lang w:val="en-AU"/>
              </w:rPr>
            </w:pPr>
          </w:p>
          <w:p>
            <w:pPr>
              <w:widowControl w:val="0"/>
              <w:suppressLineNumbers/>
              <w:suppressAutoHyphens/>
              <w:snapToGrid w:val="0"/>
              <w:rPr>
                <w:rFonts w:ascii="Tahoma" w:hAnsi="Tahoma"/>
                <w:sz w:val="22"/>
                <w:szCs w:val="20"/>
                <w:lang w:val="en-AU"/>
              </w:rPr>
            </w:pPr>
          </w:p>
          <w:p>
            <w:pPr>
              <w:widowControl w:val="0"/>
              <w:suppressAutoHyphens/>
              <w:jc w:val="both"/>
              <w:rPr>
                <w:rFonts w:ascii="Tahoma" w:hAnsi="Tahoma"/>
                <w:position w:val="6"/>
              </w:rPr>
            </w:pPr>
            <w:r>
              <w:rPr>
                <w:rFonts w:ascii="Tahoma" w:hAnsi="Tahoma"/>
                <w:position w:val="6"/>
              </w:rPr>
              <w:t xml:space="preserve"> Za jednogodišnji zakup </w:t>
            </w:r>
            <w:r>
              <w:rPr>
                <w:rFonts w:ascii="Tahoma" w:hAnsi="Tahoma"/>
                <w:b/>
                <w:position w:val="6"/>
                <w:sz w:val="28"/>
                <w:szCs w:val="28"/>
              </w:rPr>
              <w:t>uređenog</w:t>
            </w:r>
            <w:r>
              <w:rPr>
                <w:rFonts w:ascii="Tahoma" w:hAnsi="Tahoma"/>
                <w:position w:val="6"/>
              </w:rPr>
              <w:t xml:space="preserve"> parkirališnog mjesta na Šestavini, nudim cijenu  od :</w:t>
            </w:r>
          </w:p>
          <w:p>
            <w:pPr>
              <w:widowControl w:val="0"/>
              <w:suppressAutoHyphens/>
              <w:jc w:val="both"/>
              <w:rPr>
                <w:rFonts w:ascii="Tahoma" w:hAnsi="Tahoma"/>
                <w:position w:val="6"/>
                <w:sz w:val="22"/>
                <w:szCs w:val="20"/>
              </w:rPr>
            </w:pPr>
          </w:p>
          <w:p>
            <w:pPr>
              <w:widowControl w:val="0"/>
              <w:suppressAutoHyphens/>
              <w:jc w:val="both"/>
              <w:rPr>
                <w:rFonts w:ascii="Tahoma" w:hAnsi="Tahoma"/>
                <w:position w:val="6"/>
                <w:sz w:val="22"/>
                <w:szCs w:val="20"/>
              </w:rPr>
            </w:pPr>
          </w:p>
          <w:p>
            <w:pPr>
              <w:widowControl w:val="0"/>
              <w:suppressAutoHyphens/>
              <w:jc w:val="both"/>
              <w:rPr>
                <w:rFonts w:ascii="Tahoma" w:hAnsi="Tahoma"/>
                <w:position w:val="6"/>
              </w:rPr>
            </w:pPr>
            <w:r>
              <w:rPr>
                <w:rFonts w:ascii="Tahoma" w:hAnsi="Tahoma"/>
                <w:position w:val="6"/>
              </w:rPr>
              <w:t>_______________________________ kn (slovima: _______________________</w:t>
            </w:r>
          </w:p>
          <w:p>
            <w:pPr>
              <w:widowControl w:val="0"/>
              <w:suppressAutoHyphens/>
              <w:jc w:val="both"/>
              <w:rPr>
                <w:rFonts w:ascii="Tahoma" w:hAnsi="Tahoma"/>
                <w:sz w:val="22"/>
                <w:szCs w:val="20"/>
              </w:rPr>
            </w:pPr>
          </w:p>
          <w:p>
            <w:pPr>
              <w:widowControl w:val="0"/>
              <w:suppressAutoHyphens/>
              <w:jc w:val="both"/>
              <w:rPr>
                <w:rFonts w:ascii="Tahoma" w:hAnsi="Tahoma"/>
                <w:sz w:val="22"/>
                <w:szCs w:val="20"/>
              </w:rPr>
            </w:pPr>
          </w:p>
          <w:p>
            <w:pPr>
              <w:widowControl w:val="0"/>
              <w:suppressAutoHyphens/>
              <w:jc w:val="both"/>
              <w:rPr>
                <w:rFonts w:ascii="Tahoma" w:hAnsi="Tahoma"/>
                <w:sz w:val="22"/>
                <w:szCs w:val="20"/>
              </w:rPr>
            </w:pPr>
          </w:p>
          <w:p>
            <w:pPr>
              <w:widowControl w:val="0"/>
              <w:suppressAutoHyphens/>
              <w:jc w:val="both"/>
              <w:rPr>
                <w:rFonts w:ascii="Tahoma" w:hAnsi="Tahoma"/>
                <w:position w:val="6"/>
              </w:rPr>
            </w:pPr>
            <w:r>
              <w:rPr>
                <w:rFonts w:ascii="Tahoma" w:hAnsi="Tahoma"/>
                <w:position w:val="6"/>
              </w:rPr>
              <w:t>________________________________________).</w:t>
            </w:r>
          </w:p>
          <w:p>
            <w:pPr>
              <w:widowControl w:val="0"/>
              <w:suppressLineNumbers/>
              <w:suppressAutoHyphens/>
              <w:rPr>
                <w:rFonts w:ascii="Tahoma" w:hAnsi="Tahoma" w:eastAsia="Lucida Sans Unicode"/>
                <w:sz w:val="22"/>
              </w:rPr>
            </w:pPr>
          </w:p>
          <w:p>
            <w:pPr>
              <w:widowControl w:val="0"/>
              <w:suppressLineNumbers/>
              <w:suppressAutoHyphens/>
              <w:rPr>
                <w:rFonts w:ascii="Tahoma" w:hAnsi="Tahoma" w:eastAsia="Lucida Sans Unicode"/>
                <w:sz w:val="22"/>
              </w:rPr>
            </w:pPr>
          </w:p>
          <w:p>
            <w:pPr>
              <w:widowControl w:val="0"/>
              <w:suppressLineNumbers/>
              <w:suppressAutoHyphens/>
              <w:rPr>
                <w:rFonts w:ascii="Tahoma" w:hAnsi="Tahoma" w:eastAsia="Lucida Sans Unicode"/>
                <w:sz w:val="22"/>
              </w:rPr>
            </w:pPr>
          </w:p>
          <w:p>
            <w:pPr>
              <w:widowControl w:val="0"/>
              <w:suppressLineNumbers/>
              <w:suppressAutoHyphens/>
              <w:rPr>
                <w:rFonts w:ascii="Tahoma" w:hAnsi="Tahoma" w:eastAsia="Lucida Sans Unicode"/>
                <w:sz w:val="22"/>
              </w:rPr>
            </w:pPr>
          </w:p>
          <w:p>
            <w:pPr>
              <w:widowControl w:val="0"/>
              <w:suppressLineNumbers/>
              <w:suppressAutoHyphens/>
              <w:rPr>
                <w:rFonts w:ascii="Tahoma" w:hAnsi="Tahoma" w:eastAsia="Lucida Sans Unicode"/>
                <w:sz w:val="22"/>
              </w:rPr>
            </w:pPr>
            <w:r>
              <w:rPr>
                <w:rFonts w:ascii="Tahoma" w:hAnsi="Tahoma" w:eastAsia="Lucida Sans Unicode"/>
                <w:sz w:val="22"/>
              </w:rPr>
              <w:t xml:space="preserve">                                                                     __________________________</w:t>
            </w:r>
          </w:p>
          <w:p>
            <w:pPr>
              <w:widowControl w:val="0"/>
              <w:suppressLineNumbers/>
              <w:suppressAutoHyphens/>
              <w:rPr>
                <w:rFonts w:ascii="Tahoma" w:hAnsi="Tahoma" w:eastAsia="Lucida Sans Unicode"/>
                <w:sz w:val="22"/>
              </w:rPr>
            </w:pPr>
            <w:r>
              <w:rPr>
                <w:rFonts w:ascii="Tahoma" w:hAnsi="Tahoma" w:eastAsia="Lucida Sans Unicode"/>
                <w:sz w:val="22"/>
              </w:rPr>
              <w:t xml:space="preserve">                                                                                         Potpis</w:t>
            </w:r>
          </w:p>
        </w:tc>
      </w:tr>
    </w:tbl>
    <w:p>
      <w:pPr>
        <w:widowControl w:val="0"/>
        <w:suppressAutoHyphens/>
        <w:rPr>
          <w:rFonts w:ascii="Tahoma" w:hAnsi="Tahoma" w:eastAsia="Lucida Sans Unicode"/>
          <w:sz w:val="22"/>
        </w:rPr>
      </w:pPr>
    </w:p>
    <w:p>
      <w:pPr>
        <w:widowControl w:val="0"/>
        <w:suppressAutoHyphens/>
        <w:rPr>
          <w:rFonts w:ascii="Tahoma" w:hAnsi="Tahoma" w:eastAsia="Lucida Sans Unicode"/>
          <w:sz w:val="22"/>
        </w:rPr>
      </w:pPr>
    </w:p>
    <w:p>
      <w:pPr>
        <w:widowControl w:val="0"/>
        <w:suppressAutoHyphens/>
        <w:rPr>
          <w:rFonts w:ascii="Tahoma" w:hAnsi="Tahoma" w:eastAsia="Lucida Sans Unicode"/>
          <w:sz w:val="22"/>
        </w:rPr>
      </w:pPr>
    </w:p>
    <w:p>
      <w:pPr>
        <w:widowControl w:val="0"/>
        <w:suppressAutoHyphens/>
        <w:jc w:val="both"/>
        <w:rPr>
          <w:rFonts w:ascii="Tahoma" w:hAnsi="Tahoma"/>
          <w:position w:val="6"/>
        </w:rPr>
      </w:pPr>
    </w:p>
    <w:p>
      <w:pPr>
        <w:widowControl w:val="0"/>
        <w:suppressAutoHyphens/>
        <w:jc w:val="both"/>
        <w:rPr>
          <w:rFonts w:ascii="Tahoma" w:hAnsi="Tahoma"/>
          <w:position w:val="6"/>
          <w:sz w:val="22"/>
          <w:szCs w:val="20"/>
          <w:lang w:val="en-AU"/>
        </w:rPr>
      </w:pPr>
      <w:r>
        <w:rPr>
          <w:rFonts w:ascii="Tahoma" w:hAnsi="Tahoma"/>
          <w:position w:val="6"/>
          <w:sz w:val="22"/>
          <w:szCs w:val="20"/>
          <w:lang w:val="en-AU"/>
        </w:rPr>
        <w:tab/>
      </w:r>
      <w:r>
        <w:rPr>
          <w:rFonts w:ascii="Tahoma" w:hAnsi="Tahoma"/>
          <w:position w:val="6"/>
          <w:sz w:val="22"/>
          <w:szCs w:val="20"/>
          <w:lang w:val="en-AU"/>
        </w:rPr>
        <w:t>Ponuđenu cijenu  staviti u zasebnu omotnicu (kovertu), zatvoriti omotnicu, potom istu treba staviti u omotnicu koja sadržava ponudu, dokaz o prebivalištu, dokaz o vlasništvu nekretnine  i dokaz o vlasništvu vozila.</w:t>
      </w:r>
    </w:p>
    <w:p>
      <w:pPr>
        <w:widowControl w:val="0"/>
        <w:suppressAutoHyphens/>
        <w:rPr>
          <w:rFonts w:ascii="Tahoma" w:hAnsi="Tahoma" w:eastAsia="Lucida Sans Unicode"/>
          <w:sz w:val="22"/>
        </w:rPr>
      </w:pPr>
    </w:p>
    <w:p>
      <w:pPr>
        <w:rPr>
          <w:szCs w:val="20"/>
        </w:rPr>
      </w:pPr>
      <w:r>
        <w:rPr>
          <w:szCs w:val="20"/>
        </w:rPr>
        <w:tab/>
      </w:r>
    </w:p>
    <w:p>
      <w:pPr>
        <w:rPr>
          <w:szCs w:val="20"/>
        </w:rPr>
      </w:pPr>
    </w:p>
    <w:p>
      <w:pPr>
        <w:rPr>
          <w:szCs w:val="20"/>
        </w:rPr>
      </w:pPr>
    </w:p>
    <w:p/>
    <w:p/>
    <w:p/>
    <w:sectPr>
      <w:pgSz w:w="11906" w:h="16838"/>
      <w:pgMar w:top="1021" w:right="1021" w:bottom="102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EE"/>
    <w:family w:val="swiss"/>
    <w:pitch w:val="default"/>
    <w:sig w:usb0="E1002EFF" w:usb1="C000605B" w:usb2="00000029" w:usb3="00000000" w:csb0="200101FF" w:csb1="20280000"/>
  </w:font>
  <w:font w:name="Lucida Sans Unicode">
    <w:panose1 w:val="020B0602030504020204"/>
    <w:charset w:val="EE"/>
    <w:family w:val="swiss"/>
    <w:pitch w:val="default"/>
    <w:sig w:usb0="80001AFF" w:usb1="0000396B" w:usb2="00000000" w:usb3="00000000" w:csb0="200000BF" w:csb1="D7F7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302"/>
    <w:multiLevelType w:val="multilevel"/>
    <w:tmpl w:val="0608030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9FF1F11"/>
    <w:multiLevelType w:val="multilevel"/>
    <w:tmpl w:val="09FF1F11"/>
    <w:lvl w:ilvl="0" w:tentative="0">
      <w:start w:val="1"/>
      <w:numFmt w:val="bullet"/>
      <w:lvlText w:val="-"/>
      <w:lvlJc w:val="left"/>
      <w:pPr>
        <w:tabs>
          <w:tab w:val="left" w:pos="480"/>
        </w:tabs>
        <w:ind w:left="480" w:hanging="360"/>
      </w:pPr>
      <w:rPr>
        <w:rFonts w:hint="default" w:ascii="Times New Roman" w:hAnsi="Times New Roman" w:eastAsia="Times New Roman" w:cs="Times New Roman"/>
      </w:rPr>
    </w:lvl>
    <w:lvl w:ilvl="1" w:tentative="0">
      <w:start w:val="1"/>
      <w:numFmt w:val="bullet"/>
      <w:lvlText w:val="o"/>
      <w:lvlJc w:val="left"/>
      <w:pPr>
        <w:tabs>
          <w:tab w:val="left" w:pos="1200"/>
        </w:tabs>
        <w:ind w:left="1200" w:hanging="360"/>
      </w:pPr>
      <w:rPr>
        <w:rFonts w:hint="default" w:ascii="Courier New" w:hAnsi="Courier New" w:cs="Courier New"/>
      </w:rPr>
    </w:lvl>
    <w:lvl w:ilvl="2" w:tentative="0">
      <w:start w:val="1"/>
      <w:numFmt w:val="bullet"/>
      <w:lvlText w:val=""/>
      <w:lvlJc w:val="left"/>
      <w:pPr>
        <w:tabs>
          <w:tab w:val="left" w:pos="1920"/>
        </w:tabs>
        <w:ind w:left="1920" w:hanging="360"/>
      </w:pPr>
      <w:rPr>
        <w:rFonts w:hint="default" w:ascii="Wingdings" w:hAnsi="Wingdings"/>
      </w:rPr>
    </w:lvl>
    <w:lvl w:ilvl="3" w:tentative="0">
      <w:start w:val="1"/>
      <w:numFmt w:val="bullet"/>
      <w:lvlText w:val=""/>
      <w:lvlJc w:val="left"/>
      <w:pPr>
        <w:tabs>
          <w:tab w:val="left" w:pos="2640"/>
        </w:tabs>
        <w:ind w:left="2640" w:hanging="360"/>
      </w:pPr>
      <w:rPr>
        <w:rFonts w:hint="default" w:ascii="Symbol" w:hAnsi="Symbol"/>
      </w:rPr>
    </w:lvl>
    <w:lvl w:ilvl="4" w:tentative="0">
      <w:start w:val="1"/>
      <w:numFmt w:val="bullet"/>
      <w:lvlText w:val="o"/>
      <w:lvlJc w:val="left"/>
      <w:pPr>
        <w:tabs>
          <w:tab w:val="left" w:pos="3360"/>
        </w:tabs>
        <w:ind w:left="3360" w:hanging="360"/>
      </w:pPr>
      <w:rPr>
        <w:rFonts w:hint="default" w:ascii="Courier New" w:hAnsi="Courier New" w:cs="Courier New"/>
      </w:rPr>
    </w:lvl>
    <w:lvl w:ilvl="5" w:tentative="0">
      <w:start w:val="1"/>
      <w:numFmt w:val="bullet"/>
      <w:lvlText w:val=""/>
      <w:lvlJc w:val="left"/>
      <w:pPr>
        <w:tabs>
          <w:tab w:val="left" w:pos="4080"/>
        </w:tabs>
        <w:ind w:left="4080" w:hanging="360"/>
      </w:pPr>
      <w:rPr>
        <w:rFonts w:hint="default" w:ascii="Wingdings" w:hAnsi="Wingdings"/>
      </w:rPr>
    </w:lvl>
    <w:lvl w:ilvl="6" w:tentative="0">
      <w:start w:val="1"/>
      <w:numFmt w:val="bullet"/>
      <w:lvlText w:val=""/>
      <w:lvlJc w:val="left"/>
      <w:pPr>
        <w:tabs>
          <w:tab w:val="left" w:pos="4800"/>
        </w:tabs>
        <w:ind w:left="4800" w:hanging="360"/>
      </w:pPr>
      <w:rPr>
        <w:rFonts w:hint="default" w:ascii="Symbol" w:hAnsi="Symbol"/>
      </w:rPr>
    </w:lvl>
    <w:lvl w:ilvl="7" w:tentative="0">
      <w:start w:val="1"/>
      <w:numFmt w:val="bullet"/>
      <w:lvlText w:val="o"/>
      <w:lvlJc w:val="left"/>
      <w:pPr>
        <w:tabs>
          <w:tab w:val="left" w:pos="5520"/>
        </w:tabs>
        <w:ind w:left="5520" w:hanging="360"/>
      </w:pPr>
      <w:rPr>
        <w:rFonts w:hint="default" w:ascii="Courier New" w:hAnsi="Courier New" w:cs="Courier New"/>
      </w:rPr>
    </w:lvl>
    <w:lvl w:ilvl="8" w:tentative="0">
      <w:start w:val="1"/>
      <w:numFmt w:val="bullet"/>
      <w:lvlText w:val=""/>
      <w:lvlJc w:val="left"/>
      <w:pPr>
        <w:tabs>
          <w:tab w:val="left" w:pos="6240"/>
        </w:tabs>
        <w:ind w:left="6240" w:hanging="360"/>
      </w:pPr>
      <w:rPr>
        <w:rFonts w:hint="default" w:ascii="Wingdings" w:hAnsi="Wingdings"/>
      </w:rPr>
    </w:lvl>
  </w:abstractNum>
  <w:abstractNum w:abstractNumId="2">
    <w:nsid w:val="3AC42FF2"/>
    <w:multiLevelType w:val="multilevel"/>
    <w:tmpl w:val="3AC42FF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41"/>
    <w:rsid w:val="001D43DB"/>
    <w:rsid w:val="001E68A5"/>
    <w:rsid w:val="00302168"/>
    <w:rsid w:val="003C1425"/>
    <w:rsid w:val="008069C9"/>
    <w:rsid w:val="008C7841"/>
    <w:rsid w:val="00904495"/>
    <w:rsid w:val="00D33975"/>
    <w:rsid w:val="00DF4F52"/>
    <w:rsid w:val="11690FA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hr-HR" w:eastAsia="hr-HR"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rFonts w:ascii="Tahoma" w:hAnsi="Tahoma" w:cs="Tahoma"/>
      <w:sz w:val="16"/>
      <w:szCs w:val="16"/>
    </w:rPr>
  </w:style>
  <w:style w:type="paragraph" w:styleId="3">
    <w:name w:val="Body Text 2"/>
    <w:basedOn w:val="1"/>
    <w:link w:val="6"/>
    <w:uiPriority w:val="0"/>
    <w:pPr>
      <w:widowControl w:val="0"/>
      <w:tabs>
        <w:tab w:val="left" w:pos="0"/>
      </w:tabs>
      <w:suppressAutoHyphens/>
      <w:jc w:val="both"/>
    </w:pPr>
    <w:rPr>
      <w:rFonts w:ascii="Tahoma" w:hAnsi="Tahoma" w:eastAsia="Lucida Sans Unicode"/>
      <w:b/>
      <w:spacing w:val="-2"/>
      <w:sz w:val="22"/>
      <w:lang w:eastAsia="en-US"/>
    </w:rPr>
  </w:style>
  <w:style w:type="character" w:customStyle="1" w:styleId="6">
    <w:name w:val="Body Text 2 Char"/>
    <w:basedOn w:val="4"/>
    <w:link w:val="3"/>
    <w:uiPriority w:val="0"/>
    <w:rPr>
      <w:rFonts w:ascii="Tahoma" w:hAnsi="Tahoma" w:eastAsia="Lucida Sans Unicode" w:cs="Times New Roman"/>
      <w:b/>
      <w:spacing w:val="-2"/>
      <w:szCs w:val="24"/>
    </w:rPr>
  </w:style>
  <w:style w:type="character" w:customStyle="1" w:styleId="7">
    <w:name w:val="Balloon Text Char"/>
    <w:basedOn w:val="4"/>
    <w:link w:val="2"/>
    <w:semiHidden/>
    <w:uiPriority w:val="99"/>
    <w:rPr>
      <w:rFonts w:ascii="Tahoma" w:hAnsi="Tahoma" w:eastAsia="Times New Roman" w:cs="Tahoma"/>
      <w:sz w:val="16"/>
      <w:szCs w:val="16"/>
      <w:lang w:eastAsia="hr-H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1226</Words>
  <Characters>6990</Characters>
  <Lines>58</Lines>
  <Paragraphs>16</Paragraphs>
  <TotalTime>0</TotalTime>
  <ScaleCrop>false</ScaleCrop>
  <LinksUpToDate>false</LinksUpToDate>
  <CharactersWithSpaces>8200</CharactersWithSpaces>
  <Application>WPS Office_10.2.0.6051_F1E327BC-269C-435d-A152-05C5408002CA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2018-07-11T07:00:00Z</dcterms:created>
  <dc:creator>Silvia</dc:creator>
  <cp:lastModifiedBy>NIKINEW</cp:lastModifiedBy>
  <cp:lastPrinted>2018-07-16T11:47:00Z</cp:lastPrinted>
  <dcterms:modified xsi:type="dcterms:W3CDTF">2018-07-16T18:33:18Z</dcterms:modified>
  <dc:title>U skladu sa čl. 34. Odluke o organizaciji prometa (SN PGŽ 26/09, 32/09, 38/10 , 10/11,8/13 i 18/13),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