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right"/>
        <w:rPr>
          <w:rFonts w:ascii="Calibri" w:hAnsi="Calibri"/>
          <w:b/>
          <w:color w:val="404040"/>
          <w:sz w:val="28"/>
        </w:rPr>
      </w:pPr>
      <w:r>
        <w:rPr>
          <w:rFonts w:ascii="Calibri" w:hAnsi="Calibri"/>
          <w:b/>
          <w:color w:val="404040"/>
          <w:sz w:val="28"/>
        </w:rPr>
        <w:t>SKUPŠTINA DRUŠTVA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eastAsia="hr-HR"/>
        </w:rPr>
        <w:drawing>
          <wp:inline distT="0" distB="0" distL="0" distR="0">
            <wp:extent cx="5457825" cy="2057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spacing w:after="0" w:line="240" w:lineRule="auto"/>
        <w:jc w:val="center"/>
        <w:rPr>
          <w:rStyle w:val="16"/>
          <w:rFonts w:ascii="Calibri" w:hAnsi="Calibri" w:eastAsia="Calibri"/>
          <w:b w:val="0"/>
          <w:bCs w:val="0"/>
          <w:color w:val="0068A7"/>
          <w:sz w:val="36"/>
        </w:rPr>
      </w:pPr>
      <w:r>
        <w:rPr>
          <w:rStyle w:val="16"/>
          <w:rFonts w:ascii="Calibri" w:hAnsi="Calibri" w:eastAsia="Calibri"/>
          <w:b w:val="0"/>
          <w:bCs w:val="0"/>
          <w:color w:val="0068A7"/>
          <w:sz w:val="36"/>
        </w:rPr>
        <w:t>FINANCIJSKI PLAN POSLOVANJA DRUŠTVA ZA 2020. GODINU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spacing w:line="240" w:lineRule="auto"/>
        <w:rPr>
          <w:rStyle w:val="16"/>
          <w:rFonts w:eastAsia="Calibri" w:cs="Times New Roman"/>
          <w:color w:val="auto"/>
          <w:sz w:val="24"/>
        </w:rPr>
      </w:pPr>
    </w:p>
    <w:p>
      <w:pPr>
        <w:spacing w:line="240" w:lineRule="auto"/>
        <w:rPr>
          <w:rStyle w:val="16"/>
          <w:rFonts w:eastAsia="Calibri" w:cs="Times New Roman"/>
          <w:color w:val="auto"/>
          <w:sz w:val="24"/>
        </w:rPr>
      </w:pPr>
      <w:r>
        <w:rPr>
          <w:rStyle w:val="16"/>
          <w:rFonts w:eastAsia="Calibri" w:cs="Times New Roman"/>
          <w:color w:val="auto"/>
          <w:sz w:val="24"/>
        </w:rPr>
        <w:t>Osoba ovlaštena za zastupanje Društva</w:t>
      </w:r>
    </w:p>
    <w:p>
      <w:pPr>
        <w:spacing w:line="240" w:lineRule="auto"/>
        <w:rPr>
          <w:rStyle w:val="16"/>
          <w:rFonts w:ascii="Calibri" w:hAnsi="Calibri" w:eastAsia="Calibri" w:cs="Times New Roman"/>
          <w:b w:val="0"/>
          <w:i w:val="0"/>
          <w:color w:val="auto"/>
          <w:sz w:val="24"/>
        </w:rPr>
      </w:pPr>
      <w:r>
        <w:rPr>
          <w:rStyle w:val="16"/>
          <w:rFonts w:ascii="Calibri" w:hAnsi="Calibri" w:eastAsia="Calibri" w:cs="Times New Roman"/>
          <w:b w:val="0"/>
          <w:i w:val="0"/>
          <w:color w:val="auto"/>
          <w:sz w:val="24"/>
        </w:rPr>
        <w:t>Daniel Kljaić, član uprave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Times New Roman" w:cs="Times New Roman"/>
          <w:b/>
          <w:color w:val="404040"/>
          <w:sz w:val="28"/>
          <w:szCs w:val="20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Times New Roman" w:cs="Times New Roman"/>
          <w:b/>
          <w:color w:val="404040"/>
          <w:sz w:val="28"/>
          <w:szCs w:val="20"/>
          <w:lang w:eastAsia="hr-H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Times New Roman" w:cs="Times New Roman"/>
          <w:b/>
          <w:color w:val="404040"/>
          <w:sz w:val="28"/>
          <w:szCs w:val="20"/>
          <w:lang w:eastAsia="hr-HR"/>
        </w:rPr>
      </w:pPr>
      <w:r>
        <w:rPr>
          <w:rFonts w:ascii="Calibri" w:hAnsi="Calibri" w:eastAsia="Times New Roman" w:cs="Times New Roman"/>
          <w:b/>
          <w:color w:val="404040"/>
          <w:sz w:val="28"/>
          <w:szCs w:val="20"/>
          <w:lang w:eastAsia="hr-HR"/>
        </w:rPr>
        <w:t>Mali Lošinj, prosinac 2019.</w:t>
      </w:r>
    </w:p>
    <w:p>
      <w:pPr>
        <w:rPr>
          <w:rFonts w:ascii="Calibri" w:hAnsi="Calibri" w:eastAsia="Times New Roman" w:cs="Times New Roman"/>
          <w:b/>
          <w:color w:val="404040"/>
          <w:sz w:val="28"/>
          <w:szCs w:val="20"/>
          <w:lang w:eastAsia="hr-HR"/>
        </w:rPr>
      </w:pPr>
      <w:r>
        <w:rPr>
          <w:rFonts w:ascii="Calibri" w:hAnsi="Calibri" w:eastAsia="Times New Roman" w:cs="Times New Roman"/>
          <w:b/>
          <w:color w:val="404040"/>
          <w:sz w:val="28"/>
          <w:szCs w:val="20"/>
          <w:lang w:eastAsia="hr-HR"/>
        </w:rPr>
        <w:br w:type="page"/>
      </w:r>
    </w:p>
    <w:p>
      <w:pPr>
        <w:rPr>
          <w:rFonts w:eastAsia="Times New Roman"/>
          <w:b/>
          <w:color w:val="404040"/>
          <w:sz w:val="28"/>
          <w:szCs w:val="20"/>
          <w:lang w:eastAsia="hr-HR"/>
        </w:rPr>
      </w:pPr>
      <w:r>
        <w:rPr>
          <w:rFonts w:eastAsia="Times New Roman"/>
          <w:b/>
          <w:color w:val="404040"/>
          <w:sz w:val="24"/>
          <w:szCs w:val="24"/>
          <w:lang w:eastAsia="hr-HR"/>
        </w:rPr>
        <w:t>SADRŽAJ</w:t>
      </w:r>
    </w:p>
    <w:p>
      <w:pPr>
        <w:spacing w:before="100" w:beforeAutospacing="1" w:after="100" w:afterAutospacing="1" w:line="240" w:lineRule="auto"/>
        <w:rPr>
          <w:i/>
          <w:color w:val="0068A7"/>
          <w:sz w:val="24"/>
          <w:szCs w:val="24"/>
        </w:rPr>
      </w:pPr>
    </w:p>
    <w:p>
      <w:pPr>
        <w:spacing w:before="100" w:beforeAutospacing="1" w:after="100" w:afterAutospacing="1" w:line="360" w:lineRule="auto"/>
        <w:ind w:left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OPĆI PODACI</w:t>
      </w:r>
    </w:p>
    <w:p>
      <w:pPr>
        <w:spacing w:before="100" w:beforeAutospacing="1" w:after="100" w:afterAutospacing="1" w:line="360" w:lineRule="auto"/>
        <w:ind w:left="357"/>
        <w:contextualSpacing/>
        <w:rPr>
          <w:b/>
          <w:sz w:val="24"/>
          <w:szCs w:val="24"/>
          <w:highlight w:val="yellow"/>
        </w:rPr>
      </w:pPr>
    </w:p>
    <w:p>
      <w:pPr>
        <w:spacing w:before="100" w:beforeAutospacing="1" w:after="100" w:afterAutospacing="1" w:line="360" w:lineRule="auto"/>
        <w:ind w:left="357"/>
        <w:contextualSpacing/>
        <w:rPr>
          <w:b/>
          <w:sz w:val="24"/>
          <w:szCs w:val="24"/>
          <w:highlight w:val="yellow"/>
        </w:rPr>
      </w:pP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UPRAVLJANJE LJUDSKIM RESURSIMA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Struktura zaposlenika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sz w:val="24"/>
          <w:szCs w:val="24"/>
        </w:rPr>
        <w:t>Nazivi radnih mjesta Društva u 2019. godini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PRIHODI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Prihodi od komunalnih usluga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7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Prihodi od usluga naplate parkirališnih površina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8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i/>
          <w:sz w:val="24"/>
          <w:szCs w:val="24"/>
        </w:rPr>
        <w:t>Ostali prihodi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9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RASHODI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10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Rashodi osoblja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12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Rashodi ureda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13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Rashodi održavanja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14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Amortizacija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15</w:t>
      </w:r>
    </w:p>
    <w:p>
      <w:pPr>
        <w:pStyle w:val="17"/>
        <w:numPr>
          <w:ilvl w:val="1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Rashod od kamata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15</w:t>
      </w:r>
    </w:p>
    <w:p>
      <w:pPr>
        <w:pStyle w:val="17"/>
        <w:numPr>
          <w:ilvl w:val="0"/>
          <w:numId w:val="1"/>
        </w:num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DOSPIJEĆA DUGOROČNIH OBVEZA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15</w:t>
      </w:r>
    </w:p>
    <w:p>
      <w:pPr>
        <w:pStyle w:val="17"/>
        <w:numPr>
          <w:ilvl w:val="0"/>
          <w:numId w:val="1"/>
        </w:num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IZLOŽENOST RIZICIMA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17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ZAKLJUČNA RAZMATRANJA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18</w:t>
      </w:r>
    </w:p>
    <w:p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US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US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US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rPr>
          <w:b/>
          <w:color w:val="404040"/>
          <w:sz w:val="24"/>
        </w:rPr>
      </w:pPr>
      <w:r>
        <w:rPr>
          <w:b/>
          <w:color w:val="404040"/>
          <w:sz w:val="24"/>
        </w:rPr>
        <w:br w:type="page"/>
      </w:r>
    </w:p>
    <w:p>
      <w:pPr>
        <w:spacing w:line="240" w:lineRule="auto"/>
        <w:jc w:val="both"/>
        <w:rPr>
          <w:b/>
          <w:color w:val="404040"/>
          <w:sz w:val="24"/>
        </w:rPr>
      </w:pPr>
      <w:r>
        <w:rPr>
          <w:b/>
          <w:color w:val="404040"/>
          <w:sz w:val="24"/>
        </w:rPr>
        <w:t>OPĆI PODACI</w:t>
      </w:r>
    </w:p>
    <w:p>
      <w:pPr>
        <w:spacing w:after="0"/>
        <w:jc w:val="both"/>
        <w:rPr>
          <w:rFonts w:ascii="Times New Roman" w:hAnsi="Times New Roman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Društvo Lošinj usluge d.o.o. iz Malog Lošinja je društvo ograničene odgovornosti za promet u vlasništvu Grada Malog Lošinja čija je temeljna djelatnost naplata parkirališnih površina na području Grada Malog Lošinja.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Uz navedeno, još neke djelatnosti društva su: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upravljanje i održavanje sportskih objekata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održavanje javnih površina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uklanjanje olupina s javnih površina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održavanje zelenih površina i hortikulturalnog uređenja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održavanje sajmova, kongresa i izložbi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pomorski i obalni prijevoz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– prijevoz putnika u javnom prijevozu.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Polazne osnove za izradu financijskog plana poslovanja društva za 2020. godinu: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Financijski plan poslovanja sastavljen je sukladno Hrvatskim standardima financijskog izvještavanja. Iznosi u ovom planu iskazani su u hrvatskim kunama.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Sastavljanje financijskih izvještaja sukladno HSFI-jevima zahtijeva od Uprave da daje procjene i izvodi pretpostavke koje utječu na iskazane prihoda i rashoda tijekom izvještajnog razdoblja. Procjene se temelje na informacijama koje su bile dostupne na datum sastavljanja financijskog plana poslovanja, te se stvarni iznosi mogu razlikovati od procijenjenih. </w:t>
      </w:r>
    </w:p>
    <w:p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Financijski plan poslovanja za 2020. godinu izrađen je po </w:t>
      </w:r>
      <w:r>
        <w:rPr>
          <w:b/>
          <w:sz w:val="24"/>
        </w:rPr>
        <w:t>principu „</w:t>
      </w:r>
      <w:r>
        <w:rPr>
          <w:b/>
          <w:i/>
          <w:sz w:val="24"/>
        </w:rPr>
        <w:t>bottom up</w:t>
      </w:r>
      <w:r>
        <w:rPr>
          <w:b/>
          <w:sz w:val="24"/>
        </w:rPr>
        <w:t>“</w:t>
      </w:r>
      <w:r>
        <w:rPr>
          <w:sz w:val="24"/>
        </w:rPr>
        <w:t xml:space="preserve">, čime je u izradu istoga Uprava Društva uključila </w:t>
      </w:r>
      <w:r>
        <w:rPr>
          <w:b/>
          <w:sz w:val="24"/>
        </w:rPr>
        <w:t>sve razine upravljanja</w:t>
      </w:r>
      <w:r>
        <w:rPr>
          <w:sz w:val="24"/>
        </w:rPr>
        <w:t xml:space="preserve">, koje su analitički prikupile i kompilirale sve tražene podatke. Ovim načinom izrade plana postavljeni su temelji </w:t>
      </w:r>
      <w:r>
        <w:rPr>
          <w:b/>
          <w:sz w:val="24"/>
        </w:rPr>
        <w:t>kvalitetnog i pravovremenog praćenja ostvarenja plana po organizacijskim jedinicama</w:t>
      </w:r>
      <w:r>
        <w:rPr>
          <w:sz w:val="24"/>
        </w:rPr>
        <w:t xml:space="preserve"> i kategorijama prihoda i rashoda, gdje je stavljen naglasak na optimizaciju i kontrolu troškova, a time je omogućeno praćenje profitabilnosti svake pojedine poslovne jedinice Društva.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Financijski plan poslovanja Društva izrađen je uvažavajući postojeću praksu planiranja i izvještavanja Subjekata izvještavanja; standardnu, odnosno dobru praksu sličnih i usporedivih društava i sustava izvještavanja; te preporuke i specifična načela OECD-a i Svjetske banke (OECD-ove Smjernice korporativnog upravljanja državnim poduzećima, izdanje 2015 (na engleskom: "OECD Guidelines on Corporate Governance of State-Owned Enterprises, 2015 Edition") i Načela korporativnog upravljanja Svjetske banke (na engleskom: "Corporate Governance of State-Owned Enterprises: A Toolkit")). 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Ovakav pristup planiranju će stvorit pretpostavke za kvalitetno upravljanje nekretninama, investicijama, ljudskim potencijalima, komercijalnim aktivnostima i upravljanje aktivnostima vezanim uz optimizaciju strukture financiranja te će isto omogućiti ostvarenje zacrtanih poslovnih ciljeva Društva.</w:t>
      </w:r>
    </w:p>
    <w:p>
      <w:pPr>
        <w:pStyle w:val="17"/>
        <w:numPr>
          <w:ilvl w:val="0"/>
          <w:numId w:val="2"/>
        </w:numPr>
        <w:spacing w:after="160" w:line="240" w:lineRule="auto"/>
        <w:ind w:left="360"/>
        <w:rPr>
          <w:rFonts w:ascii="Calibri" w:hAnsi="Calibri" w:eastAsia="Calibri" w:cs="Times New Roman"/>
          <w:b/>
          <w:color w:val="404040"/>
          <w:sz w:val="24"/>
        </w:rPr>
      </w:pPr>
      <w:r>
        <w:rPr>
          <w:rFonts w:ascii="Calibri" w:hAnsi="Calibri" w:cs="Calibri"/>
          <w:lang w:val="en-US"/>
        </w:rPr>
        <w:br w:type="page"/>
      </w:r>
      <w:r>
        <w:rPr>
          <w:rFonts w:ascii="Calibri" w:hAnsi="Calibri" w:eastAsia="Calibri" w:cs="Times New Roman"/>
          <w:b/>
          <w:color w:val="404040"/>
          <w:sz w:val="24"/>
        </w:rPr>
        <w:t>UPRAVLJANJE LJUDSKIM RESURSIMA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>
      <w:pPr>
        <w:spacing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Zaposlenici predstavljaju temeljni resurs Društva, i njihov razvoj pretpostavlja cjelovito, sustavno i kvalitetno upravljanje kadrovima kroz proces regrutiranja i selekcije, edukacije, razvoja zaposlenika, motiviranja i praćenja radne učinkovitosti.</w:t>
      </w:r>
    </w:p>
    <w:p>
      <w:pPr>
        <w:spacing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Ključne aktivnosti upravljanja ljudskim resursima u 2020. godini uključuju:</w:t>
      </w:r>
    </w:p>
    <w:p>
      <w:pPr>
        <w:pStyle w:val="17"/>
        <w:numPr>
          <w:ilvl w:val="0"/>
          <w:numId w:val="3"/>
        </w:numPr>
        <w:spacing w:after="160"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doradu Pravilnika o radu i o sistematizaciji radnih mjesta s ciljem optimalizacije sustava, podizanja učinkovitosti i efikasnosti poslovanja</w:t>
      </w:r>
    </w:p>
    <w:p>
      <w:pPr>
        <w:pStyle w:val="17"/>
        <w:numPr>
          <w:ilvl w:val="0"/>
          <w:numId w:val="3"/>
        </w:numPr>
        <w:spacing w:after="160"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postizanje kontinuirane mogućnosti zapošljavanja tijekom cijele godine sukladno potrebama; kvalitetniji proces selekcije kadrova i racionalizacija rada sustava. </w:t>
      </w:r>
    </w:p>
    <w:p>
      <w:pPr>
        <w:pStyle w:val="17"/>
        <w:numPr>
          <w:ilvl w:val="0"/>
          <w:numId w:val="3"/>
        </w:numPr>
        <w:spacing w:after="160"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praćenje troškova ljudskih resursa s ciljem praćenja i kontrole troškova.</w:t>
      </w:r>
    </w:p>
    <w:p>
      <w:pPr>
        <w:pStyle w:val="17"/>
        <w:numPr>
          <w:ilvl w:val="0"/>
          <w:numId w:val="3"/>
        </w:numPr>
        <w:spacing w:after="160"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provedbu Godišnjih razgovora sa zaposlenicima</w:t>
      </w:r>
    </w:p>
    <w:p>
      <w:pPr>
        <w:pStyle w:val="17"/>
        <w:numPr>
          <w:ilvl w:val="0"/>
          <w:numId w:val="3"/>
        </w:numPr>
        <w:spacing w:after="160" w:line="24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unapređenje postojećeg sustava i procesa rada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rFonts w:ascii="Calibri" w:hAnsi="Calibri" w:eastAsia="Calibri" w:cs="Times New Roman"/>
          <w:sz w:val="24"/>
        </w:rPr>
        <w:t>Društvo Lošinj usluge d.o.o. zapošljava 28 radnika tokom cijele godine.</w:t>
      </w:r>
      <w:r>
        <w:rPr>
          <w:sz w:val="24"/>
          <w:szCs w:val="24"/>
        </w:rPr>
        <w:t xml:space="preserve"> Zbog povećanja opsega poslova tijekom sezone, predviđeno je zapošljavanje dodatnih 15 radnika na određeno vrijeme, i to u segmentu komercijalne djelatnosti. 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Dinamika zapošljavanja bazirati će se na racionalizaciji, rentabilnosti i fleksibilnosti, a uzimajući u obzir sigurnost i funkcionalnost rada Društva. 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Tijekom cijele 2020. godine pratiti će se stanje zaposlenih i potrebe te će se navedeni financijski plan poslovanja za 2020. godinu u skladu s tekućim potrebama dodatno revidirati i racionalizirati.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Struktura zaposlenika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U nastavku je navedena struktura zaposlenika po vrsti ugovora te struktura struče spreme.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  <w:u w:val="single"/>
        </w:rPr>
      </w:pPr>
      <w:r>
        <w:rPr>
          <w:rFonts w:ascii="Calibri" w:hAnsi="Calibri" w:eastAsia="Calibri" w:cs="Times New Roman"/>
          <w:sz w:val="24"/>
          <w:u w:val="single"/>
        </w:rPr>
        <w:t>Struktura zaposlenika po vrsti ugovora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Od ukupno 30 planiranih zaposlenih radnika u 2020. godini, 21 će ih imati sklopljen ugovor na neodređeno, a devet ugovor na određeno, te će 10 djelatnika će biti zaposleno preko studentskog servisa preko tijekom sezone.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  <w:u w:val="single"/>
        </w:rPr>
      </w:pPr>
      <w:r>
        <w:rPr>
          <w:rFonts w:ascii="Calibri" w:hAnsi="Calibri" w:eastAsia="Calibri" w:cs="Times New Roman"/>
          <w:sz w:val="24"/>
          <w:u w:val="single"/>
        </w:rPr>
        <w:t xml:space="preserve">Struktura zaposlenika po stručnoj spremi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VSS – 2 radnika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VŠS – 4 radnika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SSS – 22 radnika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color w:val="FF0000"/>
          <w:sz w:val="24"/>
        </w:rPr>
      </w:pPr>
      <w:r>
        <w:rPr>
          <w:rFonts w:ascii="Calibri" w:hAnsi="Calibri" w:eastAsia="Calibri" w:cs="Times New Roman"/>
          <w:sz w:val="24"/>
        </w:rPr>
        <w:t xml:space="preserve">NSS – 2 radnika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color w:val="FF0000"/>
          <w:sz w:val="24"/>
        </w:rPr>
        <w:sectPr>
          <w:footerReference r:id="rId4" w:type="first"/>
          <w:footerReference r:id="rId3" w:type="default"/>
          <w:pgSz w:w="12240" w:h="15840"/>
          <w:pgMar w:top="1417" w:right="1417" w:bottom="1417" w:left="1417" w:header="720" w:footer="720" w:gutter="0"/>
          <w:cols w:space="720" w:num="1"/>
          <w:titlePg/>
          <w:docGrid w:linePitch="299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</w:p>
    <w:p>
      <w:pPr>
        <w:pStyle w:val="17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t>Nazivi radnih mjesta Društva u 2020. godini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 U sljedećoj tablici, Tablica 1., prikazana je struktura i nazivi radnih mjesta.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</w:rPr>
      </w:pPr>
      <w:r>
        <w:rPr>
          <w:rFonts w:cstheme="minorHAnsi"/>
          <w:b/>
          <w:color w:val="00000A"/>
          <w:sz w:val="24"/>
          <w:szCs w:val="24"/>
          <w:lang w:val="en-US"/>
        </w:rPr>
        <w:t xml:space="preserve">Tablica 1. </w:t>
      </w:r>
      <w:r>
        <w:rPr>
          <w:rFonts w:eastAsia="Calibri" w:cstheme="minorHAnsi"/>
          <w:sz w:val="24"/>
        </w:rPr>
        <w:t>Nazivi radnih mjesta Društva u 2020. godini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tbl>
      <w:tblPr>
        <w:tblStyle w:val="13"/>
        <w:tblW w:w="10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760"/>
        <w:gridCol w:w="1230"/>
        <w:gridCol w:w="2925"/>
        <w:gridCol w:w="1665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  <w:t>Zanimanje, zvanje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  <w:t>Radno iskustvo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4865E0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  <w:lang w:eastAsia="hr-HR"/>
              </w:rPr>
              <w:t>Broj izvršitelja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Direktor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prometni, pravni, ekonomski smjer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5 godina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Voditelj administrativnih poslova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ekonomski smjer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 godine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Voditelj komunalnih djelatnosti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građevinski smjer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 godine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Koordinator komunalnih djelatnosti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VŠS/SSS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građevinski, ekonomski smjer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 godine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Kontrolor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tehnički smjer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 godine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Serviser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strojar, elektromonter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 godine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Djelatnik komunalnog programa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SSS/NKV/KV/VKV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sva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2 godine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Naplatničar u zatvorenim i otvorenim park. sustavima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 xml:space="preserve">SSS/NKV 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sva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4 / 32-sez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Izvor: Interni dokumenti Društva, 2019. godine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Iz navedenog prikaza strukture zaposlenika, gdje je vidljivo da su gotovo svi zaposlenici izravno povezani 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  <w:sectPr>
          <w:pgSz w:w="15840" w:h="12240" w:orient="landscape"/>
          <w:pgMar w:top="1418" w:right="1418" w:bottom="1418" w:left="1418" w:header="720" w:footer="720" w:gutter="0"/>
          <w:cols w:space="720" w:num="1"/>
          <w:titlePg/>
          <w:docGrid w:linePitch="299" w:charSpace="0"/>
        </w:sectPr>
      </w:pPr>
      <w:r>
        <w:rPr>
          <w:rFonts w:ascii="Calibri" w:hAnsi="Calibri" w:cs="Calibri"/>
          <w:sz w:val="24"/>
          <w:szCs w:val="24"/>
          <w:lang w:val="en-US"/>
        </w:rPr>
        <w:t xml:space="preserve"> pružanjem usluga, može se zaključiti da Društvo vrlo racionalno upravlja kadrovima sukladno potrebama posla.</w:t>
      </w:r>
    </w:p>
    <w:p>
      <w:pPr>
        <w:pStyle w:val="17"/>
        <w:numPr>
          <w:ilvl w:val="0"/>
          <w:numId w:val="2"/>
        </w:numPr>
        <w:spacing w:after="160" w:line="240" w:lineRule="auto"/>
        <w:ind w:left="360"/>
        <w:rPr>
          <w:rFonts w:ascii="Calibri" w:hAnsi="Calibri" w:eastAsia="Calibri" w:cs="Times New Roman"/>
          <w:b/>
          <w:color w:val="404040"/>
          <w:sz w:val="24"/>
        </w:rPr>
      </w:pPr>
      <w:r>
        <w:rPr>
          <w:rFonts w:ascii="Calibri" w:hAnsi="Calibri" w:eastAsia="Calibri" w:cs="Times New Roman"/>
          <w:b/>
          <w:color w:val="404040"/>
          <w:sz w:val="24"/>
        </w:rPr>
        <w:t>PRIHODI</w:t>
      </w:r>
    </w:p>
    <w:p>
      <w:pPr>
        <w:pStyle w:val="17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Prihodi iskazani u financijskom planu poslovanja iskazani su po fakturnoj vrijednosti, a odnose se na prihode od pružanja usluga naplate parkirališnih površina, pružanja komunalnih usluga te ostalih prihoda.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Plan prihoda po pojedinim uslugama za 2020. godinu prikazan je u obliku grafova i u zasebnim tablicama.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Grafički prikaz pruža jasniju sliku strukture plana prihoda u nominalnim iznosima, kao i udio pojednih djelatnosti u ukupnim prihodima.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Graf 1.</w:t>
      </w:r>
      <w:r>
        <w:rPr>
          <w:rFonts w:ascii="Calibri" w:hAnsi="Calibri" w:cs="Calibri"/>
          <w:sz w:val="24"/>
          <w:szCs w:val="24"/>
          <w:lang w:val="en-US"/>
        </w:rPr>
        <w:t xml:space="preserve"> Plan visine prihoda po vrstama djelatnosti za 2020. godinu</w:t>
      </w:r>
    </w:p>
    <w:p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drawing>
          <wp:inline distT="0" distB="0" distL="0" distR="0">
            <wp:extent cx="4499610" cy="2588895"/>
            <wp:effectExtent l="0" t="0" r="15240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Graf 2.</w:t>
      </w:r>
      <w:r>
        <w:rPr>
          <w:rFonts w:ascii="Calibri" w:hAnsi="Calibri" w:cs="Calibri"/>
          <w:sz w:val="24"/>
          <w:szCs w:val="24"/>
          <w:lang w:val="en-US"/>
        </w:rPr>
        <w:t xml:space="preserve"> Plan udjela pojedine djelatnosti u ukupnim prihodima za 2020. godinu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US"/>
        </w:rPr>
      </w:pPr>
      <w:r>
        <w:drawing>
          <wp:inline distT="0" distB="0" distL="0" distR="0">
            <wp:extent cx="4541520" cy="2286000"/>
            <wp:effectExtent l="0" t="0" r="1143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Kako se može vidjeti iz Grafa 1. i Grafa 2., Društvo najznačajnije prihode ostvarivat će iz prihoda od naplate parkinga 48%, potom prihoda od komunalnih usluga 47% te najmanji dio, od 5%, odnosi se na ostale prihode.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Prihodi od komunalnih usluga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U Tablici 2. prikazana je struktura plana prihoda od komunalnih usluga.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Tablica 2.</w:t>
      </w:r>
      <w:r>
        <w:rPr>
          <w:rFonts w:ascii="Calibri" w:hAnsi="Calibri" w:cs="Calibri"/>
          <w:sz w:val="24"/>
          <w:szCs w:val="24"/>
          <w:lang w:val="en-US"/>
        </w:rPr>
        <w:t xml:space="preserve"> Plan prihoda od komunalnih usluga za 2020. godinu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13"/>
        <w:tblW w:w="82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281"/>
        <w:gridCol w:w="3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32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Plan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Usluge prijevoza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    135.000,00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Održavanje javnih površina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1.312.000,00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Održavanje nerazvrstanih cesta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    832.000,00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Održavanje građevina i uređaja javne namjene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    656.000,00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Ostali radovi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                        220.000,00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3.155.000,00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Prihodi od komunalnih usluga planirani su u ukupnom iznosu od 3.155.000,00 kn odnosno 47% ukupnih planiranih prihoda. Radi se o izuzetno bitnim prihodima za Društvo iz razloga što se u velikom djelu prihodi ostvaruju izvan turisti</w:t>
      </w:r>
      <w:r>
        <w:rPr>
          <w:rFonts w:cstheme="minorHAnsi"/>
          <w:color w:val="00000A"/>
          <w:sz w:val="24"/>
          <w:szCs w:val="24"/>
        </w:rPr>
        <w:t>čke sezone kada su prihodi od naplate parkirališnih površina svedene na minimum.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>Usluge prijevoza u iznosu od 135.000,00 kn odnose se na prijevoznu liniju Mali Lošinj - Mrtvaška financiranu od strane Grada Malog Lošinja.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Stavka 2. održavanje javnih površina na kojima nije dozvoljen promet motornim vozilima u iznosu od 1.312.000,00 kn obuhva</w:t>
      </w:r>
      <w:r>
        <w:rPr>
          <w:rFonts w:cstheme="minorHAnsi"/>
          <w:color w:val="00000A"/>
          <w:sz w:val="24"/>
          <w:szCs w:val="24"/>
        </w:rPr>
        <w:t>ća radove sanacija ulica u pješačkim zonama, sanacija oštećenja riva, sanacija poljskih puteva i biciklističkih staza, dohrana plaža, sanacija sunčališta, popravci puteva, slaganja gromača i sl.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Održavanje nerazvrstanih cesta obuhva</w:t>
      </w:r>
      <w:r>
        <w:rPr>
          <w:rFonts w:cstheme="minorHAnsi"/>
          <w:color w:val="00000A"/>
          <w:sz w:val="24"/>
          <w:szCs w:val="24"/>
        </w:rPr>
        <w:t>ća poslove regulacije prometa, prometne signalizacije te održavanje nerazvrstanih cesta, popravke, asfaltiranja udarnih rupa i sl.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Održavanje gra</w:t>
      </w:r>
      <w:r>
        <w:rPr>
          <w:rFonts w:cstheme="minorHAnsi"/>
          <w:color w:val="00000A"/>
          <w:sz w:val="24"/>
          <w:szCs w:val="24"/>
        </w:rPr>
        <w:t>đevina te uređaja javne namjene stavka u iznosu od 656.000,00 kn odnosi se na održavanje fontana, čišćenje javnih wc-a, održavanje komunalne opreme, održavanje turističke signalizacije, održavanje autobusnih nadstrešnica i čekaonica te održavanje plažne opreme.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>Ostali radovi se odnose na druge poslove koje angažiraju ostali subjekti.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pStyle w:val="1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Prihodi od usluga naplate </w:t>
      </w:r>
      <w:r>
        <w:rPr>
          <w:rFonts w:ascii="Calibri" w:hAnsi="Calibri" w:cs="Calibri"/>
          <w:sz w:val="24"/>
          <w:szCs w:val="24"/>
        </w:rPr>
        <w:t>parkirališnih</w:t>
      </w:r>
      <w:r>
        <w:rPr>
          <w:rFonts w:ascii="Calibri" w:hAnsi="Calibri" w:cs="Calibri"/>
          <w:sz w:val="24"/>
          <w:szCs w:val="24"/>
          <w:lang w:val="en-US"/>
        </w:rPr>
        <w:t xml:space="preserve"> površina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U nastavku se nalazi Tablica 3., koja prikazuje vrste prihoda s planiranim vrijednostima za 2020. </w:t>
      </w:r>
      <w:r>
        <w:rPr>
          <w:rFonts w:cstheme="minorHAnsi"/>
          <w:sz w:val="24"/>
          <w:szCs w:val="24"/>
        </w:rPr>
        <w:t>godinu</w:t>
      </w:r>
      <w:r>
        <w:rPr>
          <w:rFonts w:cstheme="minorHAnsi"/>
          <w:sz w:val="24"/>
          <w:szCs w:val="24"/>
          <w:lang w:val="en-US"/>
        </w:rPr>
        <w:t xml:space="preserve"> od usluga naplate parkirališnih površina.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Tablica 3.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Plan prihoda od usluga naplate </w:t>
      </w:r>
      <w:r>
        <w:rPr>
          <w:rFonts w:ascii="Calibri" w:hAnsi="Calibri" w:cs="Calibri"/>
          <w:sz w:val="24"/>
          <w:szCs w:val="24"/>
        </w:rPr>
        <w:t>parkirališnih</w:t>
      </w:r>
      <w:r>
        <w:rPr>
          <w:rFonts w:ascii="Calibri" w:hAnsi="Calibri" w:cs="Calibri"/>
          <w:sz w:val="24"/>
          <w:szCs w:val="24"/>
          <w:lang w:val="en-US"/>
        </w:rPr>
        <w:t xml:space="preserve"> površina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A"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i/>
          <w:iCs/>
          <w:color w:val="00000A"/>
          <w:sz w:val="24"/>
          <w:szCs w:val="24"/>
          <w:u w:val="single"/>
          <w:lang w:val="en-US"/>
        </w:rPr>
        <w:t xml:space="preserve"> </w:t>
      </w:r>
    </w:p>
    <w:tbl>
      <w:tblPr>
        <w:tblStyle w:val="13"/>
        <w:tblW w:w="8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3341"/>
        <w:gridCol w:w="17"/>
        <w:gridCol w:w="3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3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3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Plan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Parkiralište Priko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700.000,00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Parkiralište Nova obala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425.000,00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Parkiralište Budovina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150.000,00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Garaža Bočac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Mobilna naplata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90.000,00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Parkirni aparati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350.000,00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Rezervirana park. Mjesta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560.000,00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DPK, pretplate otvoreni sustav, prihod teren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390.000,00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Kartice i pretplate zatvoreni parkinzi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440.000,00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3.205.000,00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 xml:space="preserve">Prihod od naplate parkirališnih površina planiran je u iznosu od 3.205.000,00 kn te </w:t>
      </w:r>
      <w:r>
        <w:rPr>
          <w:rFonts w:cstheme="minorHAnsi"/>
          <w:color w:val="00000A"/>
          <w:sz w:val="24"/>
          <w:szCs w:val="24"/>
        </w:rPr>
        <w:t>čini nešto više od polovice ukupnih planiranih prihoda. Naravno da se radi o stavci koja je osnovni izvor prihoda te najveći dio prihoda se ostvari u ljetnom periodu.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Prihodi su planirani nešto iznad okvira iz 2019. godine i realno ih je i o</w:t>
      </w:r>
      <w:r>
        <w:rPr>
          <w:rFonts w:cstheme="minorHAnsi"/>
          <w:color w:val="00000A"/>
          <w:sz w:val="24"/>
          <w:szCs w:val="24"/>
        </w:rPr>
        <w:t>čekivati, izuzev slučaja lošije turističke sezone. Parkirališta u prosjeku rade maksimalno u mjesecu kolovozu kada je u vršnim satima maksimalna popunjenost na svim parkiralištima.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 xml:space="preserve">Prihodi od naplate parkirališta Priko su najznačajniji te iznose </w:t>
      </w:r>
      <w:r>
        <w:rPr>
          <w:rFonts w:cstheme="minorHAnsi"/>
          <w:color w:val="00000A"/>
          <w:sz w:val="24"/>
          <w:szCs w:val="24"/>
        </w:rPr>
        <w:t>700.000,00 kn na nivou godine.  Razlog ovako značajnog iznosa, u usporedbi s drugim parkiralištima je što se radi o parkiralištu sa progresivnom tarifom. U mjesecu kolovozu promet parkirališta Priko iznosi 275.000,00 kuna, čime društvo samo u tom mjesecu uprihoduje 220.000,00 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Prihodi od mobilne naplate odnose se na mobilno pla</w:t>
      </w:r>
      <w:r>
        <w:rPr>
          <w:rFonts w:cstheme="minorHAnsi"/>
          <w:color w:val="00000A"/>
          <w:sz w:val="24"/>
          <w:szCs w:val="24"/>
        </w:rPr>
        <w:t>ćanje na otvorenim parkiralištima te iznose 90.000,00 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>Otvorena parkirališta gdje su postavljeni parkirni aparati ukupno će sukladno Planu uprihodovati 350.000,00 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Planirani prihod od DPK, te pretplate na otvorenom sustavu i prihod od pla</w:t>
      </w:r>
      <w:r>
        <w:rPr>
          <w:rFonts w:cstheme="minorHAnsi"/>
          <w:color w:val="00000A"/>
          <w:sz w:val="24"/>
          <w:szCs w:val="24"/>
        </w:rPr>
        <w:t>ćanja parkinga u uredu a koji se odnosi na otvorena parkirališta u planu iznosi 390.000,00 kn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pStyle w:val="1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vanish/>
          <w:sz w:val="24"/>
          <w:szCs w:val="24"/>
          <w:lang w:val="en-US"/>
        </w:rPr>
      </w:pPr>
    </w:p>
    <w:p>
      <w:pPr>
        <w:pStyle w:val="1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Ostali prihodi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 nastavku se nalazi Tablica 4., koja prikazuje strukturu ostalih prihoda u Planu za 2020. godinu.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Tablica 4.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Plan ostalih prihoda za 2020. godinu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13"/>
        <w:tblW w:w="82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304"/>
        <w:gridCol w:w="3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3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33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Plan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Prihod od najma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  <w:t>140.000,00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Prihod od marketinških usluga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  <w:t>100.000,00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Ostalo nenavedeno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  <w:t>80.000,00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320.000,00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Ostali prihodi su prihodi od najma stana, organizacije sajmova, najma bine, adventskih ku</w:t>
      </w:r>
      <w:r>
        <w:rPr>
          <w:rFonts w:cstheme="minorHAnsi"/>
          <w:color w:val="00000A"/>
          <w:sz w:val="24"/>
          <w:szCs w:val="24"/>
        </w:rPr>
        <w:t>čica i ostalih usluga te iznose 140.000,00 kn.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>Prihod od marketiških usluga u iznosu od 100.000,00 kn planiran je od prihoda najma reklamnih prostora.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  <w:sz w:val="24"/>
          <w:szCs w:val="24"/>
          <w:lang w:val="en-US"/>
        </w:rPr>
      </w:pPr>
      <w:r>
        <w:rPr>
          <w:rFonts w:cstheme="minorHAnsi"/>
          <w:b/>
          <w:color w:val="00000A"/>
          <w:sz w:val="24"/>
          <w:szCs w:val="24"/>
          <w:lang w:val="en-US"/>
        </w:rPr>
        <w:t xml:space="preserve">Ukupan prihod u 2020. godini planiran je u iznosu od </w:t>
      </w:r>
      <w:r>
        <w:rPr>
          <w:rFonts w:cstheme="minorHAnsi"/>
          <w:b/>
          <w:bCs/>
          <w:color w:val="00000A"/>
          <w:sz w:val="24"/>
          <w:szCs w:val="24"/>
          <w:lang w:val="en-US"/>
        </w:rPr>
        <w:t>6.680.000,00</w:t>
      </w:r>
      <w:r>
        <w:rPr>
          <w:rFonts w:cstheme="minorHAnsi"/>
          <w:b/>
          <w:color w:val="00000A"/>
          <w:sz w:val="24"/>
          <w:szCs w:val="24"/>
          <w:lang w:val="en-US"/>
        </w:rPr>
        <w:t xml:space="preserve"> kn.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>
      <w:pPr>
        <w:pStyle w:val="17"/>
        <w:numPr>
          <w:ilvl w:val="0"/>
          <w:numId w:val="2"/>
        </w:numPr>
        <w:spacing w:after="160" w:line="240" w:lineRule="auto"/>
        <w:ind w:left="360"/>
        <w:rPr>
          <w:rFonts w:ascii="Calibri" w:hAnsi="Calibri" w:eastAsia="Calibri" w:cs="Times New Roman"/>
          <w:b/>
          <w:color w:val="404040"/>
          <w:sz w:val="24"/>
        </w:rPr>
      </w:pPr>
      <w:r>
        <w:rPr>
          <w:rFonts w:ascii="Calibri" w:hAnsi="Calibri" w:eastAsia="Calibri" w:cs="Times New Roman"/>
          <w:b/>
          <w:color w:val="404040"/>
          <w:sz w:val="24"/>
        </w:rPr>
        <w:t>RASHODI</w:t>
      </w:r>
    </w:p>
    <w:p>
      <w:pPr>
        <w:spacing w:after="160" w:line="240" w:lineRule="auto"/>
        <w:rPr>
          <w:rFonts w:ascii="Calibri" w:hAnsi="Calibri" w:eastAsia="Calibri" w:cs="Times New Roman"/>
          <w:b/>
          <w:color w:val="404040"/>
          <w:sz w:val="24"/>
        </w:rPr>
      </w:pPr>
    </w:p>
    <w:p>
      <w:pPr>
        <w:pStyle w:val="22"/>
        <w:widowControl/>
        <w:tabs>
          <w:tab w:val="clear" w:pos="284"/>
        </w:tabs>
        <w:spacing w:before="0" w:after="200"/>
        <w:rPr>
          <w:rFonts w:asciiTheme="minorHAnsi" w:hAnsiTheme="minorHAnsi" w:eastAsiaTheme="minorHAnsi" w:cstheme="minorHAnsi"/>
          <w:sz w:val="24"/>
          <w:szCs w:val="24"/>
          <w:lang w:val="hr-HR"/>
        </w:rPr>
      </w:pPr>
      <w:r>
        <w:rPr>
          <w:rFonts w:asciiTheme="minorHAnsi" w:hAnsiTheme="minorHAnsi" w:eastAsiaTheme="minorHAnsi" w:cstheme="minorHAnsi"/>
          <w:sz w:val="24"/>
          <w:szCs w:val="24"/>
          <w:lang w:val="hr-HR"/>
        </w:rPr>
        <w:t>Rashodi predstavljaju smanjenja ekonomskih koristi kroz obračunsko razdoblje u obliku odljeva ili iscrpljenja imovine ili stvaranja obveza što za posljedicu ima smanjenje vlasničke glavnice, osim onog u svezi s raspodjelom sudionicima u vlasničkoj glavnici.</w:t>
      </w:r>
    </w:p>
    <w:p>
      <w:pPr>
        <w:pStyle w:val="22"/>
        <w:widowControl/>
        <w:tabs>
          <w:tab w:val="clear" w:pos="284"/>
        </w:tabs>
        <w:spacing w:before="0" w:after="200"/>
        <w:rPr>
          <w:rFonts w:asciiTheme="minorHAnsi" w:hAnsiTheme="minorHAnsi" w:eastAsiaTheme="minorHAnsi" w:cstheme="minorHAnsi"/>
          <w:sz w:val="24"/>
          <w:szCs w:val="24"/>
          <w:lang w:val="hr-HR"/>
        </w:rPr>
      </w:pPr>
      <w:r>
        <w:rPr>
          <w:rFonts w:asciiTheme="minorHAnsi" w:hAnsiTheme="minorHAnsi" w:eastAsiaTheme="minorHAnsi" w:cstheme="minorHAnsi"/>
          <w:sz w:val="24"/>
          <w:szCs w:val="24"/>
          <w:lang w:val="hr-HR"/>
        </w:rPr>
        <w:t>Rashodi se priznaju u dobiti ili gubitku kada se mogu pouzdano izmjeriti. Priznavanje rashoda pojavljuje se istodobno s priznavanjem povećanja obveza ili smanjenja imovine.</w:t>
      </w:r>
    </w:p>
    <w:p>
      <w:pPr>
        <w:pStyle w:val="22"/>
        <w:widowControl/>
        <w:tabs>
          <w:tab w:val="clear" w:pos="284"/>
        </w:tabs>
        <w:spacing w:before="0" w:after="200"/>
        <w:rPr>
          <w:rFonts w:asciiTheme="minorHAnsi" w:hAnsiTheme="minorHAnsi" w:eastAsiaTheme="minorHAnsi" w:cstheme="minorHAnsi"/>
          <w:sz w:val="24"/>
          <w:szCs w:val="24"/>
          <w:lang w:val="hr-HR"/>
        </w:rPr>
      </w:pPr>
      <w:r>
        <w:rPr>
          <w:rFonts w:asciiTheme="minorHAnsi" w:hAnsiTheme="minorHAnsi" w:eastAsiaTheme="minorHAnsi" w:cstheme="minorHAnsi"/>
          <w:sz w:val="24"/>
          <w:szCs w:val="24"/>
          <w:lang w:val="hr-HR"/>
        </w:rPr>
        <w:t xml:space="preserve">Svi rashodi koji se odnose na obračunsko razdoblje bez obzira na to kada će biti plaćeni knjiže se na teret računa rashoda, odnosno troškova razdoblja na koje se odnose.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Društva najvećim se dijelom odnose na troškove plaća i ostale izdatke za radnike, troškove održavanja, te rashode ureda i kamata.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Plan rashoda po pojedinim grupama za 2020. godinu prikazan je grafički i u zasebnim tablicama.  U Grafu 3. prikazan je plan rashoda po grupama rashoda za 2020. godinu.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Graf 3.</w:t>
      </w:r>
      <w:r>
        <w:rPr>
          <w:rFonts w:ascii="Calibri" w:hAnsi="Calibri" w:cs="Calibri"/>
          <w:sz w:val="24"/>
          <w:szCs w:val="24"/>
          <w:lang w:val="en-US"/>
        </w:rPr>
        <w:t xml:space="preserve"> Plan rashoda po grupama za 2020. godinu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drawing>
          <wp:inline distT="0" distB="0" distL="0" distR="0">
            <wp:extent cx="5363845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U Grafu 4. prikazan je plan udjela pojedine grupe rashoda u ukupnim rashodima u 2020. godine.</w:t>
      </w:r>
    </w:p>
    <w:p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Graf 4. </w:t>
      </w:r>
      <w:r>
        <w:rPr>
          <w:rFonts w:cstheme="minorHAnsi"/>
          <w:sz w:val="24"/>
          <w:szCs w:val="24"/>
        </w:rPr>
        <w:t xml:space="preserve">Plan udjela </w:t>
      </w:r>
      <w:r>
        <w:rPr>
          <w:rFonts w:ascii="Calibri" w:hAnsi="Calibri" w:cs="Calibri"/>
          <w:sz w:val="24"/>
          <w:szCs w:val="24"/>
          <w:lang w:val="en-US"/>
        </w:rPr>
        <w:t>pojedine grupe rashoda u ukupnim rashodima za 2020. godinu</w:t>
      </w:r>
      <w:r>
        <w:rPr>
          <w:rFonts w:cstheme="minorHAnsi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drawing>
          <wp:inline distT="0" distB="0" distL="0" distR="0">
            <wp:extent cx="5097780" cy="322326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Kao što se može vidjeti iz grafičkih prikaza, iz Grafa 3. i Grafa 4., najveći udio rashoda se odnosi na rashode za osoblje, 51%, drugi najveći rashod se odnosi na održavanje, 35%, te slijede rashodi ureda, amortizacije i kamata.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Prikazani rashodi predstavljaju aktivnosti i poslovne odluke koje uprava Društva želi poduzeti i ostvariti u budućem obračunskom razdoblju.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Upravljanje rashodima osoblja i rashodima održavanja ključna je aktivnost Društva vezana uz racionalizaciju troškova poslovanja.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Uprava Društva pomno prati i analizira potrebe za novim kadrom, te sukladno rezultatima zapošljava dodatno osoblje.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Uprava Društva kroz procese nabave štiti imovinu Društva i time rashode održavanja čini nužnim i objektivnim.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Rahodi osoblja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 nastavku se nalazi Tablica 5., koja prikazuje plan rashoda osoblja za 2020. godinu.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Tablica 5.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Plan rashoda za osoblje za 2020. godinu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13"/>
        <w:tblW w:w="60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1"/>
        <w:gridCol w:w="2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7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US" w:eastAsia="hr-HR"/>
              </w:rPr>
              <w:t>Vrsta rashoda</w:t>
            </w:r>
          </w:p>
        </w:tc>
        <w:tc>
          <w:tcPr>
            <w:tcW w:w="22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1.1.  Neto plaće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1.870.000,00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1.2. Doprinosi i porezi na plaću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960.000,00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1.3. Studenski ugovori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120.000,00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1.4.Dnevnice za sl .putovanja i putni troškovi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24.000,00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1.5. Troškovi prijevoza na posao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55.000,00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1.6. Troškovi školovanja i usavršavanja djelatnika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1.7. troškovi liječničkih pregleda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1.8.  isplata ne oporezivog dijela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150.000,00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1.9. zaštitna htz odjeća i obuća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1.10. naknade komisijama i nadzornom odboru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1.11 naknada za hranarinu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180.000,00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  <w:t>3.399.000,00 kn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 xml:space="preserve">Rashodovna strana koncipirana je na rashode osoblja u iznosu od 3.399.000,00 kn što </w:t>
      </w:r>
      <w:r>
        <w:rPr>
          <w:rFonts w:cstheme="minorHAnsi"/>
          <w:color w:val="00000A"/>
          <w:sz w:val="24"/>
          <w:szCs w:val="24"/>
        </w:rPr>
        <w:t>čini polovicu ukupnih troškova. U vrijeme sezone planiramo raditi u kapacitetima od 40-ak djelatnika od čega je jedan dio zaposlen preko studentskih i školskih ugovora. U zimskim mjesecima planiramo imati 30 zaposlenika.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ureda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 nastavku se nalazi Tablica 6., koja prikazuje plan rashoda ureda za 2020. godinu.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Tablica 6.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Plan rashoda ureda za 2020. godinu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13"/>
        <w:tblW w:w="6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  <w:gridCol w:w="2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US" w:eastAsia="hr-HR"/>
              </w:rPr>
              <w:t>Vrsta rashoda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2.1. uredski materijal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2.2. usluge telefona i interneta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2.3. električna energija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2.4. troškovi platnog prometa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2.5. poštanske usluge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12.000,00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2.6. HRT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6.000,00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2.7. članarine komore, udruge,šume..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12.000,00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2.8. usluge izrade idejnih projekata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2.9. knjigovodstvene usluge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72.000,00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2.10. odvjetničke usluge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2.11. bilježničke usluge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2.12. intelektualne i konzultantske usluge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50.000,00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2.13. rashodi iz poslovnih odnosa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2.14. usluge vještačenja i revizije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2.15. izrada prometnih rješenja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2.16. troškovi smještaja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6.000,00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2.17. troškovi prezentacije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2.18. voda i komunalne usluge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2.19. usluge zakupa prostora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2.20. darovanje, sufinanciranja udruge, klubovi....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  <w:t>474.000,00 kn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>Rashodi ureda planirani su u iznosu od 474.000,00 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U rashodima ureda su na primjer troškovi tj. knjigovodstvene usluge, intelektualne, bilježni</w:t>
      </w:r>
      <w:r>
        <w:rPr>
          <w:rFonts w:cstheme="minorHAnsi"/>
          <w:color w:val="00000A"/>
          <w:sz w:val="24"/>
          <w:szCs w:val="24"/>
        </w:rPr>
        <w:t>čke usluge, izrade prometnih rješenja, projekata, troškovi uredskog i ostalog materijala, režijski troškovi i sl.</w:t>
      </w: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održavanja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 nastavku se nalazi Tablica 7., koja prikazuje plan rashoda održavanja za 2020. godinu.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Tablica 7.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Plan rashoda održavanja za 2020. godinu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13"/>
        <w:tblW w:w="6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  <w:gridCol w:w="2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US" w:eastAsia="hr-HR"/>
              </w:rPr>
              <w:t>Vrsta rashoda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4865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Plan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3.1. materijal za čišćenje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3.2. održavanje sustava i softvera, sms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3.3. sitni inventar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3.4. rezervni dijelovi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50.000,00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3.5. nabavljene usluge tekućeg održavanja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400.000,00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3.6. registracije i servisi te porezi na vozila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25.000,00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3.7. osiguranje djelatnosti i imovine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65.000,00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3.8. trošak sirovina i materijala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450.000,00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3.9. usluge kooperanata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750.000,00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3.10. usluge prijevoza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120.000,00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3.11. ostali utrošeni materijal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3.12. najam opreme za naplatu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10.000,00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3.13. termo role i kartice te usluge tiska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9.000,00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nil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3.14. gorivo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75.000,00 kn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80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color w:val="00000A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A"/>
                <w:sz w:val="24"/>
                <w:szCs w:val="24"/>
                <w:lang w:eastAsia="hr-HR"/>
              </w:rPr>
              <w:t>2.339.000,00 kn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Rashodi od održavanja planirani su u iznosu od 2.339.000,00 kn i oni čine</w:t>
      </w:r>
      <w:r>
        <w:rPr>
          <w:rFonts w:cstheme="minorHAnsi"/>
          <w:color w:val="00000A"/>
          <w:sz w:val="24"/>
          <w:szCs w:val="24"/>
        </w:rPr>
        <w:t xml:space="preserve"> nešto oko 35% ukupnih troškova poduzeća.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>U troškovima održavanja nalaze se svi rashodi koji su nastali iz održavanja sustava parkirališta, terena, garaža te poslova i radova koji se odrade za Grad.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Stavka 3.9. su usluge kooperanata koje planiramo u iznosu od 750.000,00 kn a odnose se najviše na poslove koje se odra</w:t>
      </w:r>
      <w:r>
        <w:rPr>
          <w:rFonts w:cstheme="minorHAnsi"/>
          <w:color w:val="00000A"/>
          <w:sz w:val="24"/>
          <w:szCs w:val="24"/>
        </w:rPr>
        <w:t>đuju za Grad Mali Lošinj npr. asfaltiranja, tj poslovi koje ne možemo obaviti sami zbog nemogućnosti obavljanja svih poslova (potrebna mehanizacija koju ne posjedujemo).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Nabavljene usluge teku</w:t>
      </w:r>
      <w:r>
        <w:rPr>
          <w:rFonts w:cstheme="minorHAnsi"/>
          <w:color w:val="00000A"/>
          <w:sz w:val="24"/>
          <w:szCs w:val="24"/>
        </w:rPr>
        <w:t>ćeg održavanja (poput uređenja ili popravka parkirališta) odnose se direktno na rashod razdoblja i planirane su za 2020. godinu u iznosu od 400.000,00 kn.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Amortizacija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Planirani iznos amortizacije materijalne i nematerijalne imovine za 2020. godinu iznosi 420.000,00 kuna.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pStyle w:val="1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 od kamata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Planirane kamate po kreditnim zaduženjima iznose 35.000,00 kuna za 2020. godinu.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  <w:sz w:val="24"/>
          <w:szCs w:val="24"/>
          <w:lang w:val="en-US"/>
        </w:rPr>
      </w:pPr>
      <w:r>
        <w:rPr>
          <w:rFonts w:cstheme="minorHAnsi"/>
          <w:b/>
          <w:color w:val="00000A"/>
          <w:sz w:val="24"/>
          <w:szCs w:val="24"/>
          <w:lang w:val="en-US"/>
        </w:rPr>
        <w:t xml:space="preserve">Ukupni rashodi u 2020. godini planirani su u iznosu od 6.667.000,00 kn.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spacing w:after="160" w:line="240" w:lineRule="auto"/>
        <w:rPr>
          <w:rFonts w:ascii="Calibri" w:hAnsi="Calibri" w:eastAsia="Calibri" w:cs="Times New Roman"/>
          <w:b/>
          <w:color w:val="404040"/>
          <w:sz w:val="24"/>
        </w:rPr>
      </w:pPr>
    </w:p>
    <w:p>
      <w:pPr>
        <w:pStyle w:val="17"/>
        <w:numPr>
          <w:ilvl w:val="0"/>
          <w:numId w:val="2"/>
        </w:numPr>
        <w:spacing w:after="160" w:line="240" w:lineRule="auto"/>
        <w:ind w:left="360"/>
        <w:rPr>
          <w:rFonts w:ascii="Calibri" w:hAnsi="Calibri" w:eastAsia="Calibri" w:cs="Times New Roman"/>
          <w:b/>
          <w:color w:val="404040"/>
          <w:sz w:val="24"/>
        </w:rPr>
      </w:pPr>
      <w:r>
        <w:rPr>
          <w:rFonts w:ascii="Calibri" w:hAnsi="Calibri" w:eastAsia="Calibri" w:cs="Times New Roman"/>
          <w:b/>
          <w:color w:val="404040"/>
          <w:sz w:val="24"/>
        </w:rPr>
        <w:t>PLAN DOSPIJEĆA DUGOROČNIH OBVEZA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Društvo je u 2015. i 2016. godini potpisalo 2 ugovora za lizing vozila za potrebe obavljanja osnovne djelatnosti, koji dospijevaju na naplatu 2020.  odnosno 2022. godine.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 2019. godini Društvo je potpisalo kredit s Privrednom bankom Zagreb u iznosu od 3 milijuna kuna za upravnu zgradu te u 2020. godini dolazi na naplatu prva rata kredita 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Uvjeti kredita su sljedeći: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Glavnica: 3.000.000,00 kuna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Kamata: 1,75000 % godišnje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Valuta: hrvatska kuna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Datum početka kredita: 30.06.2020. godine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Rok kredita: 30.06.2030. godine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Učestalnost dospijeća glavnice: mjesečno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Učestalost dospijeća kamate: mjesečno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  <w:sectPr>
          <w:pgSz w:w="12240" w:h="15840"/>
          <w:pgMar w:top="1418" w:right="1418" w:bottom="1418" w:left="1418" w:header="720" w:footer="720" w:gutter="0"/>
          <w:cols w:space="720" w:num="1"/>
          <w:titlePg/>
          <w:docGrid w:linePitch="299" w:charSpace="0"/>
        </w:sectPr>
      </w:pPr>
      <w:r>
        <w:rPr>
          <w:rFonts w:cstheme="minorHAnsi"/>
          <w:sz w:val="24"/>
          <w:szCs w:val="24"/>
          <w:lang w:val="en-US"/>
        </w:rPr>
        <w:t xml:space="preserve">Otplate obveza prema banci i lizing društvu po dospijećima prikazane su u Tablici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A"/>
          <w:sz w:val="24"/>
          <w:szCs w:val="24"/>
          <w:highlight w:val="yellow"/>
        </w:rPr>
      </w:pPr>
      <w:r>
        <w:rPr>
          <w:rFonts w:cstheme="minorHAnsi"/>
          <w:b/>
          <w:bCs/>
          <w:color w:val="00000A"/>
          <w:sz w:val="24"/>
          <w:szCs w:val="24"/>
        </w:rPr>
        <w:t xml:space="preserve">    Tablica 8. Plan dospijeća obveza po kreditima i lizinzima društva Lošinj usluge d.o.o.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  <w:lang w:val="en-US"/>
        </w:rPr>
      </w:pPr>
    </w:p>
    <w:tbl>
      <w:tblPr>
        <w:tblStyle w:val="13"/>
        <w:tblW w:w="124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13"/>
        <w:gridCol w:w="1070"/>
        <w:gridCol w:w="812"/>
        <w:gridCol w:w="960"/>
        <w:gridCol w:w="1224"/>
        <w:gridCol w:w="1224"/>
        <w:gridCol w:w="1224"/>
        <w:gridCol w:w="1224"/>
        <w:gridCol w:w="1224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Red. br.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Kreditor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Namjena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Valuta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Vrsta obveze</w:t>
            </w:r>
          </w:p>
        </w:tc>
        <w:tc>
          <w:tcPr>
            <w:tcW w:w="7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2020.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2021.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2022.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2023.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2024.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2025. - 2030.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1.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Unicredit Leasing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vozilo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HRK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glavnica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9.044,88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HRK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kamata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315,36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2.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Unicredit Leasing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vozilo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HRK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glavnica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28.507,20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28.507,20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9.502,40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HRK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kamata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4.747,32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4.747,32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1.582,44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3.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Privredna banka Zagreb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upravna zgrada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HRK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glavnica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150.000,00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300.000,00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1.650.000,00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HRK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kamata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26.275,52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48.116,50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42.793,59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37.470,67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32.241,33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81.698,32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1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S V E U K U P N O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glavnica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187.552,08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328.507,20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309.502,40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1.650.000,00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1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kamata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31.338,20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52.863,82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44.376,03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37.470,67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32.241,33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81.698,32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highlight w:val="yellow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Tablica 8. Prikazuje plan dospijeća obveza za razdoblje od 2020. do 2030. godine. U tablici nisu prikazana eventualna buduća zaduženja za nove investicije ili novi ugovori o lizingu po isteku tekućih.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>
      <w:pPr>
        <w:pStyle w:val="23"/>
        <w:rPr>
          <w:rFonts w:asciiTheme="minorHAnsi" w:hAnsiTheme="minorHAnsi" w:eastAsiaTheme="minorHAnsi" w:cstheme="minorHAnsi"/>
          <w:bCs/>
          <w:sz w:val="24"/>
          <w:lang w:val="en-US"/>
        </w:rPr>
        <w:sectPr>
          <w:footerReference r:id="rId5" w:type="default"/>
          <w:pgSz w:w="15840" w:h="12240" w:orient="landscape"/>
          <w:pgMar w:top="1418" w:right="1418" w:bottom="1418" w:left="1418" w:header="720" w:footer="720" w:gutter="0"/>
          <w:cols w:space="720" w:num="1"/>
          <w:titlePg/>
          <w:docGrid w:linePitch="299" w:charSpace="0"/>
        </w:sectPr>
      </w:pPr>
      <w:r>
        <w:rPr>
          <w:rFonts w:asciiTheme="minorHAnsi" w:hAnsiTheme="minorHAnsi" w:eastAsiaTheme="minorHAnsi" w:cstheme="minorHAnsi"/>
          <w:bCs/>
          <w:sz w:val="24"/>
          <w:lang w:val="en-US"/>
        </w:rPr>
        <w:t>Planirana prosječna ponderirana kamatna stopa na primljene kredite za godinu koja slijedi iznosi je 1,750%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>
      <w:pPr>
        <w:pStyle w:val="17"/>
        <w:numPr>
          <w:ilvl w:val="0"/>
          <w:numId w:val="2"/>
        </w:numPr>
        <w:spacing w:after="160" w:line="240" w:lineRule="auto"/>
        <w:ind w:left="360"/>
        <w:rPr>
          <w:rFonts w:ascii="Calibri" w:hAnsi="Calibri" w:eastAsia="Calibri" w:cs="Times New Roman"/>
          <w:b/>
          <w:color w:val="404040"/>
          <w:sz w:val="24"/>
        </w:rPr>
      </w:pPr>
      <w:r>
        <w:rPr>
          <w:rFonts w:ascii="Calibri" w:hAnsi="Calibri" w:eastAsia="Calibri" w:cs="Times New Roman"/>
          <w:b/>
          <w:color w:val="404040"/>
          <w:sz w:val="24"/>
        </w:rPr>
        <w:t>IZLOŽENOST RIZICIMA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Izloženost rizicima javlja se tijekom redovnog poslovanja, a najčešći su kreditni, valutni, kamatni rizik i rizik likvidnosti.</w:t>
      </w: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iCs/>
          <w:sz w:val="24"/>
          <w:szCs w:val="24"/>
          <w:highlight w:val="green"/>
        </w:rPr>
      </w:pP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Kreditni rizik</w:t>
      </w:r>
    </w:p>
    <w:p>
      <w:pPr>
        <w:pStyle w:val="6"/>
        <w:tabs>
          <w:tab w:val="left" w:pos="2160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 postoji značajna koncentracija kreditne izloženosti te Društvo ne smatra da je značajno izloženo ovom riziku. Društvo nije izloženo ovom riziku obzirom da se većina usluga naplaćuje u odmah po izvršavanju usluge.</w:t>
      </w: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iCs/>
          <w:sz w:val="24"/>
          <w:szCs w:val="24"/>
        </w:rPr>
      </w:pP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Kamatni rizik </w:t>
      </w:r>
    </w:p>
    <w:p>
      <w:pPr>
        <w:pStyle w:val="6"/>
        <w:tabs>
          <w:tab w:val="left" w:pos="2160"/>
        </w:tabs>
        <w:ind w:firstLine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Većinu kamatonosnih stavki imovine i obveza društva predstavljaju primljeni krediti.</w:t>
      </w:r>
    </w:p>
    <w:p>
      <w:pPr>
        <w:pStyle w:val="6"/>
        <w:tabs>
          <w:tab w:val="left" w:pos="2160"/>
        </w:tabs>
        <w:ind w:firstLine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Društvo se zadužilo po fiksnoj kamatnoj stopi od 1,750% te je nepotrebno raditi analizu osjetiljivosti na promjene kamatnih stopa. Planirana prosječna ponderirana kamatna stopa za 2020. godinu iznosit će, sukladno ugovorenoj kamati, 1,750%.</w:t>
      </w:r>
    </w:p>
    <w:p>
      <w:pPr>
        <w:pStyle w:val="5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</w:p>
    <w:p>
      <w:pPr>
        <w:pStyle w:val="5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hr-HR"/>
        </w:rPr>
        <w:t>Upravljanje rizikom likvidnosti</w:t>
      </w:r>
    </w:p>
    <w:p>
      <w:pPr>
        <w:pStyle w:val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Odgovornost za upravljanje rizikom likvidnosti snosi Uprava, koja postavlja odgovarajući okvir za upravljanje rizikom likvidnosti, s ciljem upravljanja kratkoročnim, srednjoročnim i dugoročnim zahtjevima financiranja i likvidnosti. Društvo upravlja rizikom likvidnosti održavajući adekvatne rezerve i kreditne linije, kontinuirano uspoređujući planirani i ostvareni tijek novca uz praćenje dospijeća potraživanja i obveza.</w:t>
      </w: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b/>
          <w:i/>
          <w:iCs/>
          <w:sz w:val="24"/>
          <w:szCs w:val="24"/>
          <w:highlight w:val="green"/>
        </w:rPr>
      </w:pPr>
    </w:p>
    <w:p>
      <w:pPr>
        <w:pStyle w:val="6"/>
        <w:tabs>
          <w:tab w:val="left" w:pos="2160"/>
        </w:tabs>
        <w:ind w:firstLine="0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Rizik strane valute</w:t>
      </w:r>
    </w:p>
    <w:p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Društvo nema izloženost prema stranim valutama, budući da poslije i zadužuje se isključivo u hrvatskim kunama.</w:t>
      </w:r>
    </w:p>
    <w:p>
      <w:pPr>
        <w:spacing w:line="240" w:lineRule="auto"/>
        <w:rPr>
          <w:rFonts w:eastAsia="Times New Roman" w:cstheme="minorHAnsi"/>
          <w:b/>
          <w:i/>
          <w:sz w:val="24"/>
          <w:szCs w:val="24"/>
          <w:highlight w:val="green"/>
        </w:rPr>
      </w:pPr>
      <w:r>
        <w:rPr>
          <w:rFonts w:cstheme="minorHAnsi"/>
          <w:b/>
          <w:i/>
          <w:sz w:val="24"/>
          <w:szCs w:val="24"/>
          <w:highlight w:val="green"/>
        </w:rPr>
        <w:br w:type="page"/>
      </w:r>
    </w:p>
    <w:p>
      <w:pPr>
        <w:pStyle w:val="17"/>
        <w:numPr>
          <w:ilvl w:val="0"/>
          <w:numId w:val="2"/>
        </w:numPr>
        <w:spacing w:after="160" w:line="240" w:lineRule="auto"/>
        <w:ind w:left="360"/>
        <w:rPr>
          <w:rFonts w:ascii="Calibri" w:hAnsi="Calibri" w:eastAsia="Calibri" w:cs="Times New Roman"/>
          <w:b/>
          <w:color w:val="404040"/>
          <w:sz w:val="24"/>
        </w:rPr>
      </w:pPr>
      <w:r>
        <w:rPr>
          <w:rFonts w:ascii="Calibri" w:hAnsi="Calibri" w:eastAsia="Calibri" w:cs="Times New Roman"/>
          <w:b/>
          <w:color w:val="404040"/>
          <w:sz w:val="24"/>
        </w:rPr>
        <w:t>ZAKLJUČNA RAZMATRANJA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  <w:lang w:val="en-US"/>
        </w:rPr>
      </w:pPr>
      <w:r>
        <w:rPr>
          <w:rFonts w:cstheme="minorHAnsi"/>
          <w:color w:val="00000A"/>
          <w:sz w:val="24"/>
          <w:szCs w:val="24"/>
          <w:lang w:val="en-US"/>
        </w:rPr>
        <w:t xml:space="preserve">Planirani prihodi za 2020. godinu iznose 6.680.000,00 kn a rashodi </w:t>
      </w:r>
      <w:r>
        <w:rPr>
          <w:rFonts w:cstheme="minorHAnsi"/>
          <w:bCs/>
          <w:color w:val="00000A"/>
          <w:sz w:val="24"/>
          <w:szCs w:val="24"/>
          <w:lang w:val="en-US"/>
        </w:rPr>
        <w:t>6.667.000,00</w:t>
      </w:r>
      <w:r>
        <w:rPr>
          <w:rFonts w:cstheme="minorHAnsi"/>
          <w:b/>
          <w:color w:val="00000A"/>
          <w:sz w:val="24"/>
          <w:szCs w:val="24"/>
          <w:lang w:val="en-US"/>
        </w:rPr>
        <w:t xml:space="preserve"> </w:t>
      </w:r>
      <w:r>
        <w:rPr>
          <w:rFonts w:cstheme="minorHAnsi"/>
          <w:color w:val="00000A"/>
          <w:sz w:val="24"/>
          <w:szCs w:val="24"/>
          <w:lang w:val="en-US"/>
        </w:rPr>
        <w:t>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Lošinj usluge d.o.o. nakon 2009. godine i financijskog oporavka, iz godine u godinu pove</w:t>
      </w:r>
      <w:r>
        <w:rPr>
          <w:rFonts w:cstheme="minorHAnsi"/>
          <w:color w:val="00000A"/>
          <w:sz w:val="24"/>
          <w:szCs w:val="24"/>
        </w:rPr>
        <w:t>ćava i realizira veće prinose sredstava.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Najve</w:t>
      </w:r>
      <w:r>
        <w:rPr>
          <w:rFonts w:cstheme="minorHAnsi"/>
          <w:color w:val="00000A"/>
          <w:sz w:val="24"/>
          <w:szCs w:val="24"/>
        </w:rPr>
        <w:t>ći razlog tomu je stabilno poslovanje i prihodi od naplate parkirališnih površina koje iz godine u godinu bilježe određeni porast. Porast prihoda nisu rezultati povećanja cijena parkiranja, budući da već nekoliko godina cijene nisu povećane, a ne planiramo bitnije povećavati cijene niti u 2020. godini.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Od  kapitalnih projekata u prvoj polovici 2020. godine planiramo završiti gradnju upravne zgrade sa skladišnim prostorima kada je i planirano preseljenje uprave i skladišnih prostora. Investicija je vrijedna po projektantskim troškovnicima 3.000.000,00 kn bez ura</w:t>
      </w:r>
      <w:r>
        <w:rPr>
          <w:rFonts w:cstheme="minorHAnsi"/>
          <w:color w:val="00000A"/>
          <w:sz w:val="24"/>
          <w:szCs w:val="24"/>
        </w:rPr>
        <w:t>čunatog PDV-a. U drugoj polovici godine planiramo i započeti gradnju garažno parkirnog objekta koji bi po procjeni trebao biti dovršen do sezone 2021. godine. Projekt je planiran u zajedničkoj suradnji s Gradom Malim Lošinjem.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U pogledu unapre</w:t>
      </w:r>
      <w:r>
        <w:rPr>
          <w:rFonts w:cstheme="minorHAnsi"/>
          <w:color w:val="00000A"/>
          <w:sz w:val="24"/>
          <w:szCs w:val="24"/>
        </w:rPr>
        <w:t>đenja prometa u mirovanju u planu je nabava 2 displeja i montaža na frekventnim mjestima o popunjenosti parkirališta.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Planira se i uvo</w:t>
      </w:r>
      <w:r>
        <w:rPr>
          <w:rFonts w:cstheme="minorHAnsi"/>
          <w:color w:val="00000A"/>
          <w:sz w:val="24"/>
          <w:szCs w:val="24"/>
        </w:rPr>
        <w:t>đenje prepaid kartica te povoljnija tarifa za korisnike parkirališta u ulici Ivana i Stjepana Vidulića u zimskim mjesecima.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hr-HR"/>
        </w:rPr>
      </w:pPr>
      <w:r>
        <w:rPr>
          <w:rFonts w:hint="default" w:cstheme="minorHAnsi"/>
          <w:color w:val="00000A"/>
          <w:sz w:val="24"/>
          <w:szCs w:val="24"/>
          <w:lang w:val="hr-HR"/>
        </w:rPr>
        <w:t>Planiramo nabaviti 5 novih parkirnih aparata koji će imati mogućnost plaćanja kovanicama te novčanicama uz naravno mogućnost plaćanja sms-om.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Planiramo ure</w:t>
      </w:r>
      <w:r>
        <w:rPr>
          <w:rFonts w:cstheme="minorHAnsi"/>
          <w:color w:val="00000A"/>
          <w:sz w:val="24"/>
          <w:szCs w:val="24"/>
        </w:rPr>
        <w:t>đenje parkirališta u Creskoj ulici,</w:t>
      </w:r>
      <w:r>
        <w:rPr>
          <w:rFonts w:hint="default" w:cstheme="minorHAnsi"/>
          <w:color w:val="00000A"/>
          <w:sz w:val="24"/>
          <w:szCs w:val="24"/>
          <w:lang w:val="hr-HR"/>
        </w:rPr>
        <w:t>proširenja parkinga u ulici Vresikovo ,</w:t>
      </w:r>
      <w:bookmarkStart w:id="0" w:name="_GoBack"/>
      <w:bookmarkEnd w:id="0"/>
      <w:r>
        <w:rPr>
          <w:rFonts w:cstheme="minorHAnsi"/>
          <w:color w:val="00000A"/>
          <w:sz w:val="24"/>
          <w:szCs w:val="24"/>
        </w:rPr>
        <w:t xml:space="preserve"> parkirališta u Nerezinama kod groblja i marketa te u ulici Lošinjskih pomoraca.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Planiramo proširiti djelatnosti na marketinške usluge tj. dovo</w:t>
      </w:r>
      <w:r>
        <w:rPr>
          <w:rFonts w:cstheme="minorHAnsi"/>
          <w:color w:val="00000A"/>
          <w:sz w:val="24"/>
          <w:szCs w:val="24"/>
        </w:rPr>
        <w:t>đenja u red reklamne i turističke signalizacije koja u ovom trenutku nije na nivou koji ovaj Grad zaslužuje.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 xml:space="preserve">Posebnu pažnju </w:t>
      </w:r>
      <w:r>
        <w:rPr>
          <w:rFonts w:cstheme="minorHAnsi"/>
          <w:color w:val="00000A"/>
          <w:sz w:val="24"/>
          <w:szCs w:val="24"/>
        </w:rPr>
        <w:t>ćemo posvetiti uređenju zapuštenih puteva uređenjem suhozida, krčenjem raslinja, rezanjem te usitnjavanju drvene mase. Strojevi za obavljanje navedenog posla su nabavljeni koncem 2017. godine.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  <w:lang w:val="en-US"/>
        </w:rPr>
        <w:t>Kvalitetnim ulaganjima i organizacijom posla vjerujemo u realizaciju plana koji je predvi</w:t>
      </w:r>
      <w:r>
        <w:rPr>
          <w:rFonts w:cstheme="minorHAnsi"/>
          <w:color w:val="00000A"/>
          <w:sz w:val="24"/>
          <w:szCs w:val="24"/>
        </w:rPr>
        <w:t>đen za 2020. godinu.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>
      <w:pPr>
        <w:spacing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Informacije o društvu:</w:t>
      </w:r>
    </w:p>
    <w:p>
      <w:pPr>
        <w:spacing w:line="240" w:lineRule="auto"/>
        <w:contextualSpacing/>
        <w:jc w:val="both"/>
        <w:rPr>
          <w:b/>
          <w:sz w:val="24"/>
        </w:rPr>
      </w:pPr>
    </w:p>
    <w:p>
      <w:pPr>
        <w:spacing w:line="240" w:lineRule="auto"/>
        <w:contextualSpacing/>
        <w:jc w:val="both"/>
        <w:rPr>
          <w:sz w:val="24"/>
        </w:rPr>
      </w:pPr>
      <w:r>
        <w:rPr>
          <w:b/>
          <w:sz w:val="24"/>
        </w:rPr>
        <w:t>Vlasništvo: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Grad Mali Lošinj  100%</w:t>
      </w:r>
    </w:p>
    <w:p>
      <w:pPr>
        <w:spacing w:line="240" w:lineRule="auto"/>
        <w:contextualSpacing/>
        <w:jc w:val="both"/>
        <w:rPr>
          <w:sz w:val="24"/>
        </w:rPr>
      </w:pPr>
    </w:p>
    <w:p>
      <w:pPr>
        <w:spacing w:line="240" w:lineRule="auto"/>
        <w:ind w:left="2832" w:hanging="2832"/>
        <w:contextualSpacing/>
        <w:jc w:val="both"/>
        <w:rPr>
          <w:sz w:val="24"/>
        </w:rPr>
      </w:pPr>
      <w:r>
        <w:rPr>
          <w:b/>
          <w:sz w:val="24"/>
        </w:rPr>
        <w:t>Skupština:</w:t>
      </w:r>
      <w:r>
        <w:rPr>
          <w:sz w:val="24"/>
        </w:rPr>
        <w:tab/>
      </w:r>
      <w:r>
        <w:rPr>
          <w:sz w:val="24"/>
        </w:rPr>
        <w:t xml:space="preserve">Gradonačelnik Malog Lošinja </w:t>
      </w:r>
    </w:p>
    <w:p>
      <w:pPr>
        <w:spacing w:line="240" w:lineRule="auto"/>
        <w:contextualSpacing/>
        <w:jc w:val="both"/>
        <w:rPr>
          <w:sz w:val="24"/>
        </w:rPr>
      </w:pPr>
    </w:p>
    <w:p>
      <w:pPr>
        <w:spacing w:line="240" w:lineRule="auto"/>
        <w:contextualSpacing/>
        <w:jc w:val="both"/>
        <w:rPr>
          <w:sz w:val="24"/>
        </w:rPr>
      </w:pPr>
      <w:r>
        <w:rPr>
          <w:b/>
          <w:sz w:val="24"/>
        </w:rPr>
        <w:t>Nadzorni odbor: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Marina Žunić Grbčić, predsjednik </w:t>
      </w:r>
    </w:p>
    <w:p>
      <w:pPr>
        <w:spacing w:line="240" w:lineRule="auto"/>
        <w:ind w:left="2124" w:firstLine="708"/>
        <w:contextualSpacing/>
        <w:jc w:val="both"/>
        <w:rPr>
          <w:sz w:val="24"/>
        </w:rPr>
      </w:pPr>
      <w:r>
        <w:rPr>
          <w:sz w:val="24"/>
        </w:rPr>
        <w:t>Ivan Vlašić, član</w:t>
      </w:r>
    </w:p>
    <w:p>
      <w:pPr>
        <w:spacing w:line="240" w:lineRule="auto"/>
        <w:ind w:left="2124" w:firstLine="708"/>
        <w:contextualSpacing/>
        <w:jc w:val="both"/>
        <w:rPr>
          <w:sz w:val="24"/>
        </w:rPr>
      </w:pPr>
      <w:r>
        <w:rPr>
          <w:sz w:val="24"/>
        </w:rPr>
        <w:t>Miroslav Čović, član</w:t>
      </w:r>
    </w:p>
    <w:p>
      <w:pPr>
        <w:spacing w:line="240" w:lineRule="auto"/>
        <w:ind w:left="2124" w:firstLine="708"/>
        <w:contextualSpacing/>
        <w:jc w:val="both"/>
        <w:rPr>
          <w:sz w:val="24"/>
        </w:rPr>
      </w:pPr>
    </w:p>
    <w:p>
      <w:pPr>
        <w:spacing w:line="240" w:lineRule="auto"/>
        <w:contextualSpacing/>
        <w:jc w:val="both"/>
        <w:rPr>
          <w:sz w:val="24"/>
        </w:rPr>
      </w:pPr>
    </w:p>
    <w:p>
      <w:pPr>
        <w:spacing w:line="240" w:lineRule="auto"/>
        <w:contextualSpacing/>
        <w:jc w:val="both"/>
        <w:rPr>
          <w:sz w:val="24"/>
        </w:rPr>
      </w:pPr>
      <w:r>
        <w:rPr>
          <w:b/>
          <w:sz w:val="24"/>
        </w:rPr>
        <w:t>Uprava: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Daniel Kljaić, član uprave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>
      <w:pPr>
        <w:rPr>
          <w:rFonts w:cstheme="minorHAnsi"/>
          <w:sz w:val="24"/>
          <w:szCs w:val="24"/>
        </w:rPr>
      </w:pPr>
    </w:p>
    <w:sectPr>
      <w:pgSz w:w="12240" w:h="15840"/>
      <w:pgMar w:top="1418" w:right="1418" w:bottom="1418" w:left="1418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78544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2300510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57</w:t>
        </w:r>
        <w:r>
          <w:fldChar w:fldCharType="end"/>
        </w:r>
      </w:p>
    </w:sdtContent>
  </w:sdt>
  <w:p>
    <w:pPr>
      <w:pStyle w:val="7"/>
      <w:pBdr>
        <w:top w:val="single" w:color="auto" w:sz="4" w:space="1"/>
      </w:pBdr>
      <w:ind w:right="-2"/>
      <w:rPr>
        <w:sz w:val="19"/>
        <w:szCs w:val="1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669"/>
    <w:multiLevelType w:val="multilevel"/>
    <w:tmpl w:val="301B46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881018"/>
    <w:multiLevelType w:val="multilevel"/>
    <w:tmpl w:val="5188101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F14C39"/>
    <w:multiLevelType w:val="multilevel"/>
    <w:tmpl w:val="64F14C3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7B3A60"/>
    <w:multiLevelType w:val="multilevel"/>
    <w:tmpl w:val="667B3A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89F5E68"/>
    <w:multiLevelType w:val="multilevel"/>
    <w:tmpl w:val="689F5E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75"/>
    <w:rsid w:val="0008037B"/>
    <w:rsid w:val="00135D65"/>
    <w:rsid w:val="001C2118"/>
    <w:rsid w:val="001E5E3A"/>
    <w:rsid w:val="00226098"/>
    <w:rsid w:val="0023118F"/>
    <w:rsid w:val="002430B6"/>
    <w:rsid w:val="002457C0"/>
    <w:rsid w:val="002867C3"/>
    <w:rsid w:val="002B096E"/>
    <w:rsid w:val="002B39CB"/>
    <w:rsid w:val="002C3168"/>
    <w:rsid w:val="002D3DE0"/>
    <w:rsid w:val="002D749C"/>
    <w:rsid w:val="0040348D"/>
    <w:rsid w:val="00427467"/>
    <w:rsid w:val="00432B54"/>
    <w:rsid w:val="0045369B"/>
    <w:rsid w:val="0046434C"/>
    <w:rsid w:val="0048597B"/>
    <w:rsid w:val="004A3E89"/>
    <w:rsid w:val="004C4C01"/>
    <w:rsid w:val="004D6F36"/>
    <w:rsid w:val="00502FDC"/>
    <w:rsid w:val="005052C5"/>
    <w:rsid w:val="00526611"/>
    <w:rsid w:val="00583C8A"/>
    <w:rsid w:val="005A23AE"/>
    <w:rsid w:val="005D078C"/>
    <w:rsid w:val="005F111C"/>
    <w:rsid w:val="006324ED"/>
    <w:rsid w:val="00667E36"/>
    <w:rsid w:val="006B0AD0"/>
    <w:rsid w:val="006B20CB"/>
    <w:rsid w:val="00706C93"/>
    <w:rsid w:val="0075583B"/>
    <w:rsid w:val="00761219"/>
    <w:rsid w:val="00772787"/>
    <w:rsid w:val="008562A5"/>
    <w:rsid w:val="00871D68"/>
    <w:rsid w:val="008803B4"/>
    <w:rsid w:val="00881D18"/>
    <w:rsid w:val="008F63AE"/>
    <w:rsid w:val="00917246"/>
    <w:rsid w:val="009707B5"/>
    <w:rsid w:val="00A020EB"/>
    <w:rsid w:val="00A21E3A"/>
    <w:rsid w:val="00A63339"/>
    <w:rsid w:val="00A76787"/>
    <w:rsid w:val="00A90DB1"/>
    <w:rsid w:val="00A92336"/>
    <w:rsid w:val="00AA79DA"/>
    <w:rsid w:val="00AC512F"/>
    <w:rsid w:val="00AC54BB"/>
    <w:rsid w:val="00B318E0"/>
    <w:rsid w:val="00BA2066"/>
    <w:rsid w:val="00BD7207"/>
    <w:rsid w:val="00BE069A"/>
    <w:rsid w:val="00BE2E6D"/>
    <w:rsid w:val="00C55402"/>
    <w:rsid w:val="00C57285"/>
    <w:rsid w:val="00C66D1F"/>
    <w:rsid w:val="00C839BC"/>
    <w:rsid w:val="00CB16F3"/>
    <w:rsid w:val="00CF22C8"/>
    <w:rsid w:val="00D35875"/>
    <w:rsid w:val="00D37FE1"/>
    <w:rsid w:val="00D87CAF"/>
    <w:rsid w:val="00DA5159"/>
    <w:rsid w:val="00DD1910"/>
    <w:rsid w:val="00DE079E"/>
    <w:rsid w:val="00DF2B6D"/>
    <w:rsid w:val="00DF7303"/>
    <w:rsid w:val="00E5288B"/>
    <w:rsid w:val="00E67DAE"/>
    <w:rsid w:val="00E90A17"/>
    <w:rsid w:val="00F169B8"/>
    <w:rsid w:val="00F311E5"/>
    <w:rsid w:val="00F67E50"/>
    <w:rsid w:val="00F923F8"/>
    <w:rsid w:val="00FB004C"/>
    <w:rsid w:val="00FC4420"/>
    <w:rsid w:val="00FD0A10"/>
    <w:rsid w:val="00FE7DDC"/>
    <w:rsid w:val="00FF4F96"/>
    <w:rsid w:val="1EB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after="0" w:line="240" w:lineRule="auto"/>
      <w:ind w:left="5387"/>
      <w:jc w:val="both"/>
      <w:outlineLvl w:val="1"/>
    </w:pPr>
    <w:rPr>
      <w:rFonts w:ascii="Arial" w:hAnsi="Arial" w:eastAsia="Times New Roman" w:cs="Times New Roman"/>
      <w:sz w:val="24"/>
      <w:szCs w:val="20"/>
      <w:lang w:eastAsia="hr-H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5"/>
    <w:qFormat/>
    <w:uiPriority w:val="0"/>
    <w:pPr>
      <w:widowControl w:val="0"/>
      <w:spacing w:after="120" w:line="240" w:lineRule="auto"/>
    </w:pPr>
    <w:rPr>
      <w:rFonts w:ascii="Times New Roman" w:hAnsi="Times New Roman" w:eastAsia="Times New Roman" w:cs="Times New Roman"/>
      <w:szCs w:val="20"/>
      <w:lang w:val="en-GB"/>
    </w:rPr>
  </w:style>
  <w:style w:type="paragraph" w:styleId="6">
    <w:name w:val="Body Text Indent 2"/>
    <w:basedOn w:val="1"/>
    <w:link w:val="24"/>
    <w:qFormat/>
    <w:uiPriority w:val="0"/>
    <w:pPr>
      <w:spacing w:after="0" w:line="240" w:lineRule="auto"/>
      <w:ind w:firstLine="851"/>
    </w:pPr>
    <w:rPr>
      <w:rFonts w:ascii="Arial" w:hAnsi="Arial" w:eastAsia="Times New Roman" w:cs="Times New Roman"/>
      <w:szCs w:val="20"/>
    </w:rPr>
  </w:style>
  <w:style w:type="paragraph" w:styleId="7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10">
    <w:name w:val="toc 2"/>
    <w:basedOn w:val="1"/>
    <w:next w:val="1"/>
    <w:unhideWhenUsed/>
    <w:qFormat/>
    <w:uiPriority w:val="39"/>
    <w:pPr>
      <w:spacing w:after="100"/>
      <w:ind w:left="220"/>
    </w:p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Heading 2 Char"/>
    <w:basedOn w:val="11"/>
    <w:link w:val="3"/>
    <w:qFormat/>
    <w:uiPriority w:val="0"/>
    <w:rPr>
      <w:rFonts w:ascii="Arial" w:hAnsi="Arial" w:eastAsia="Times New Roman" w:cs="Times New Roman"/>
      <w:sz w:val="24"/>
      <w:szCs w:val="20"/>
      <w:lang w:eastAsia="hr-HR"/>
    </w:rPr>
  </w:style>
  <w:style w:type="character" w:customStyle="1" w:styleId="15">
    <w:name w:val="Balloon Text Char"/>
    <w:basedOn w:val="11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Intense Emphasis"/>
    <w:qFormat/>
    <w:uiPriority w:val="0"/>
    <w:rPr>
      <w:b/>
      <w:bCs/>
      <w:i/>
      <w:iCs/>
      <w:color w:val="4F81BD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Header Char"/>
    <w:basedOn w:val="11"/>
    <w:link w:val="8"/>
    <w:qFormat/>
    <w:uiPriority w:val="99"/>
  </w:style>
  <w:style w:type="character" w:customStyle="1" w:styleId="19">
    <w:name w:val="Footer Char"/>
    <w:basedOn w:val="11"/>
    <w:link w:val="7"/>
    <w:uiPriority w:val="99"/>
  </w:style>
  <w:style w:type="character" w:customStyle="1" w:styleId="20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21">
    <w:name w:val="TOC Heading"/>
    <w:basedOn w:val="2"/>
    <w:next w:val="1"/>
    <w:semiHidden/>
    <w:unhideWhenUsed/>
    <w:qFormat/>
    <w:uiPriority w:val="39"/>
    <w:pPr>
      <w:outlineLvl w:val="9"/>
    </w:pPr>
    <w:rPr>
      <w:lang w:val="en-US"/>
    </w:rPr>
  </w:style>
  <w:style w:type="paragraph" w:customStyle="1" w:styleId="22">
    <w:name w:val="Text"/>
    <w:basedOn w:val="1"/>
    <w:qFormat/>
    <w:uiPriority w:val="0"/>
    <w:pPr>
      <w:widowControl w:val="0"/>
      <w:tabs>
        <w:tab w:val="left" w:pos="284"/>
      </w:tabs>
      <w:spacing w:before="130" w:after="0" w:line="240" w:lineRule="auto"/>
      <w:jc w:val="both"/>
    </w:pPr>
    <w:rPr>
      <w:rFonts w:ascii="Times New Roman" w:hAnsi="Times New Roman" w:eastAsia="Times New Roman" w:cs="Times New Roman"/>
      <w:szCs w:val="20"/>
      <w:lang w:val="en-GB"/>
    </w:rPr>
  </w:style>
  <w:style w:type="paragraph" w:customStyle="1" w:styleId="23">
    <w:name w:val="FORMAT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 w:cs="Arial"/>
      <w:sz w:val="19"/>
      <w:szCs w:val="24"/>
    </w:rPr>
  </w:style>
  <w:style w:type="character" w:customStyle="1" w:styleId="24">
    <w:name w:val="Body Text Indent 2 Char"/>
    <w:basedOn w:val="11"/>
    <w:link w:val="6"/>
    <w:uiPriority w:val="0"/>
    <w:rPr>
      <w:rFonts w:ascii="Arial" w:hAnsi="Arial" w:eastAsia="Times New Roman" w:cs="Times New Roman"/>
      <w:szCs w:val="20"/>
    </w:rPr>
  </w:style>
  <w:style w:type="character" w:customStyle="1" w:styleId="25">
    <w:name w:val="Body Text Char"/>
    <w:basedOn w:val="11"/>
    <w:link w:val="5"/>
    <w:uiPriority w:val="0"/>
    <w:rPr>
      <w:rFonts w:ascii="Times New Roman" w:hAnsi="Times New Roman" w:eastAsia="Times New Roman" w:cs="Times New Roman"/>
      <w:szCs w:val="20"/>
      <w:lang w:val="en-GB"/>
    </w:rPr>
  </w:style>
  <w:style w:type="paragraph" w:customStyle="1" w:styleId="26">
    <w:name w:val="TT"/>
    <w:basedOn w:val="1"/>
    <w:uiPriority w:val="0"/>
    <w:pPr>
      <w:keepNext/>
      <w:spacing w:after="0" w:line="301" w:lineRule="exact"/>
    </w:pPr>
    <w:rPr>
      <w:rFonts w:ascii="Arial" w:hAnsi="Arial" w:eastAsia="Times New Roman" w:cs="Times New Roman"/>
      <w:sz w:val="18"/>
      <w:szCs w:val="20"/>
      <w:lang w:val="en-GB"/>
    </w:rPr>
  </w:style>
  <w:style w:type="paragraph" w:customStyle="1" w:styleId="27">
    <w:name w:val="Table Text"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color w:val="00000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zcuk\Desktop\Lo&#353;inj\Excel%20tablic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Prihodi!$N$50:$N$52</c:f>
              <c:strCache>
                <c:ptCount val="3"/>
                <c:pt idx="0">
                  <c:v>Prihod o naplate parkinga</c:v>
                </c:pt>
                <c:pt idx="1">
                  <c:v>Prihod od komunalnih usuga</c:v>
                </c:pt>
                <c:pt idx="2">
                  <c:v>Ostali prihodi</c:v>
                </c:pt>
              </c:strCache>
            </c:strRef>
          </c:cat>
          <c:val>
            <c:numRef>
              <c:f>Prihodi!$O$50:$O$52</c:f>
              <c:numCache>
                <c:formatCode>_-* #,##0.00\ _k_n_-;\-* #,##0.00\ _k_n_-;_-* "-"??\ _k_n_-;_-@_-</c:formatCode>
                <c:ptCount val="3"/>
                <c:pt idx="0">
                  <c:v>3205000</c:v>
                </c:pt>
                <c:pt idx="1">
                  <c:v>3155000</c:v>
                </c:pt>
                <c:pt idx="2">
                  <c:v>320000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019568"/>
        <c:axId val="539011696"/>
      </c:barChart>
      <c:catAx>
        <c:axId val="53901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539011696"/>
        <c:crosses val="autoZero"/>
        <c:auto val="1"/>
        <c:lblAlgn val="ctr"/>
        <c:lblOffset val="100"/>
        <c:noMultiLvlLbl val="0"/>
      </c:catAx>
      <c:valAx>
        <c:axId val="53901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_-* #,##0.00\ _k_n_-;\-* #,##0.00\ _k_n_-;_-* &quot;-&quot;??\ _k_n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53901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Prihodi!$N$50:$N$52</c:f>
              <c:strCache>
                <c:ptCount val="3"/>
                <c:pt idx="0">
                  <c:v>Prihod o naplate parkinga</c:v>
                </c:pt>
                <c:pt idx="1">
                  <c:v>Prihod od komunalnih usuga</c:v>
                </c:pt>
                <c:pt idx="2">
                  <c:v>Ostali prihodi</c:v>
                </c:pt>
              </c:strCache>
            </c:strRef>
          </c:cat>
          <c:val>
            <c:numRef>
              <c:f>Prihodi!$O$50:$O$52</c:f>
              <c:numCache>
                <c:formatCode>_-* #,##0.00\ _k_n_-;\-* #,##0.00\ _k_n_-;_-* "-"??\ _k_n_-;_-@_-</c:formatCode>
                <c:ptCount val="3"/>
                <c:pt idx="0">
                  <c:v>3250000</c:v>
                </c:pt>
                <c:pt idx="1">
                  <c:v>3155000</c:v>
                </c:pt>
                <c:pt idx="2">
                  <c:v>320000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Rashodi!$J$19:$J$23</c:f>
              <c:strCache>
                <c:ptCount val="5"/>
                <c:pt idx="0">
                  <c:v>Rashodi osoblja</c:v>
                </c:pt>
                <c:pt idx="1">
                  <c:v>Rashod od održavanja</c:v>
                </c:pt>
                <c:pt idx="2">
                  <c:v>Rashodi ureda</c:v>
                </c:pt>
                <c:pt idx="3">
                  <c:v>Amortizacija</c:v>
                </c:pt>
                <c:pt idx="4">
                  <c:v>Rashod od kamata</c:v>
                </c:pt>
              </c:strCache>
            </c:strRef>
          </c:cat>
          <c:val>
            <c:numRef>
              <c:f>Rashodi!$K$19:$K$23</c:f>
              <c:numCache>
                <c:formatCode>#,##0.00\ "kn";[Red]\-#,##0.00\ "kn"</c:formatCode>
                <c:ptCount val="5"/>
                <c:pt idx="0">
                  <c:v>3399000</c:v>
                </c:pt>
                <c:pt idx="1">
                  <c:v>2339000</c:v>
                </c:pt>
                <c:pt idx="2">
                  <c:v>474000</c:v>
                </c:pt>
                <c:pt idx="3">
                  <c:v>420000</c:v>
                </c:pt>
                <c:pt idx="4">
                  <c:v>35000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302856"/>
        <c:axId val="307303184"/>
      </c:barChart>
      <c:catAx>
        <c:axId val="307302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7303184"/>
        <c:crosses val="autoZero"/>
        <c:auto val="1"/>
        <c:lblAlgn val="ctr"/>
        <c:lblOffset val="100"/>
        <c:noMultiLvlLbl val="0"/>
      </c:catAx>
      <c:valAx>
        <c:axId val="307303184"/>
        <c:scaling>
          <c:orientation val="minMax"/>
        </c:scaling>
        <c:delete val="0"/>
        <c:axPos val="l"/>
        <c:numFmt formatCode="#,##0.00\ &quot;kn&quot;;[Red]\-#,##0.00\ &quot;kn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7302856"/>
        <c:crosses val="autoZero"/>
        <c:crossBetween val="between"/>
      </c:valAx>
      <c:spPr>
        <a:solidFill>
          <a:schemeClr val="bg1"/>
        </a:solidFill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Rashodi!$J$19:$J$23</c:f>
              <c:strCache>
                <c:ptCount val="5"/>
                <c:pt idx="0">
                  <c:v>Rashodi osoblja</c:v>
                </c:pt>
                <c:pt idx="1">
                  <c:v>Rashod od održavanja</c:v>
                </c:pt>
                <c:pt idx="2">
                  <c:v>Rashodi ureda</c:v>
                </c:pt>
                <c:pt idx="3">
                  <c:v>Amortizacija</c:v>
                </c:pt>
                <c:pt idx="4">
                  <c:v>Rashod od kamata</c:v>
                </c:pt>
              </c:strCache>
            </c:strRef>
          </c:cat>
          <c:val>
            <c:numRef>
              <c:f>Rashodi!$K$19:$K$23</c:f>
              <c:numCache>
                <c:formatCode>"kn"#,##0.00_);[Red]\("kn"#,##0.00\)</c:formatCode>
                <c:ptCount val="5"/>
                <c:pt idx="0">
                  <c:v>3399000</c:v>
                </c:pt>
                <c:pt idx="1">
                  <c:v>2339000</c:v>
                </c:pt>
                <c:pt idx="2">
                  <c:v>474000</c:v>
                </c:pt>
                <c:pt idx="3">
                  <c:v>420000</c:v>
                </c:pt>
                <c:pt idx="4">
                  <c:v>80000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3E5CC2-5A07-43E0-AB13-842876057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3480</Words>
  <Characters>19842</Characters>
  <Lines>165</Lines>
  <Paragraphs>46</Paragraphs>
  <TotalTime>152</TotalTime>
  <ScaleCrop>false</ScaleCrop>
  <LinksUpToDate>false</LinksUpToDate>
  <CharactersWithSpaces>23276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2019-12-23T16:05:00Z</dcterms:created>
  <dc:creator>Zoran</dc:creator>
  <cp:lastModifiedBy>Dado</cp:lastModifiedBy>
  <dcterms:modified xsi:type="dcterms:W3CDTF">2019-12-24T10:43:22Z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