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47" w:rsidRDefault="008F2547">
      <w:pPr>
        <w:pStyle w:val="Standard"/>
      </w:pPr>
      <w:bookmarkStart w:id="0" w:name="_GoBack"/>
      <w:bookmarkEnd w:id="0"/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jc w:val="center"/>
        <w:rPr>
          <w:b/>
          <w:color w:val="00000A"/>
          <w:sz w:val="44"/>
        </w:rPr>
      </w:pPr>
      <w:r>
        <w:rPr>
          <w:b/>
          <w:color w:val="00000A"/>
          <w:sz w:val="44"/>
        </w:rPr>
        <w:t>FINANCIJSKI PLAN POSLOVANJA DRUŠTVA ZA 2019. GODINU</w:t>
      </w: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jc w:val="center"/>
        <w:rPr>
          <w:color w:val="00000A"/>
        </w:rPr>
      </w:pPr>
      <w:r>
        <w:rPr>
          <w:color w:val="00000A"/>
        </w:rPr>
        <w:t>MALI LOŠINJ, PROSINAC 2018.</w:t>
      </w:r>
    </w:p>
    <w:p w:rsidR="008F2547" w:rsidRDefault="008F2547">
      <w:pPr>
        <w:pStyle w:val="Standard"/>
        <w:rPr>
          <w:color w:val="00000A"/>
          <w:sz w:val="40"/>
        </w:rPr>
      </w:pPr>
    </w:p>
    <w:p w:rsidR="008F2547" w:rsidRDefault="008F2547">
      <w:pPr>
        <w:pStyle w:val="Standard"/>
        <w:rPr>
          <w:color w:val="00000A"/>
          <w:sz w:val="40"/>
        </w:rPr>
      </w:pPr>
    </w:p>
    <w:p w:rsidR="008F2547" w:rsidRDefault="008F2547">
      <w:pPr>
        <w:pStyle w:val="Standard"/>
        <w:rPr>
          <w:color w:val="00000A"/>
          <w:sz w:val="40"/>
        </w:rPr>
      </w:pPr>
    </w:p>
    <w:p w:rsidR="008F2547" w:rsidRDefault="008F2547">
      <w:pPr>
        <w:pStyle w:val="Standard"/>
        <w:spacing w:after="200" w:line="276" w:lineRule="auto"/>
        <w:rPr>
          <w:rFonts w:ascii="Calibri" w:hAnsi="Calibri"/>
          <w:color w:val="00000A"/>
          <w:sz w:val="22"/>
        </w:rPr>
      </w:pPr>
    </w:p>
    <w:p w:rsidR="008F2547" w:rsidRDefault="008F2547">
      <w:pPr>
        <w:pStyle w:val="Standard"/>
        <w:spacing w:after="200" w:line="276" w:lineRule="auto"/>
        <w:rPr>
          <w:rFonts w:ascii="Calibri" w:hAnsi="Calibri"/>
          <w:color w:val="00000A"/>
          <w:sz w:val="22"/>
        </w:rPr>
      </w:pPr>
    </w:p>
    <w:p w:rsidR="008F2547" w:rsidRDefault="008F2547">
      <w:pPr>
        <w:pStyle w:val="Standard"/>
        <w:spacing w:after="200" w:line="276" w:lineRule="auto"/>
        <w:rPr>
          <w:rFonts w:ascii="Calibri" w:hAnsi="Calibri"/>
          <w:color w:val="00000A"/>
          <w:sz w:val="22"/>
        </w:rPr>
      </w:pPr>
    </w:p>
    <w:p w:rsidR="008F2547" w:rsidRDefault="008F2547">
      <w:pPr>
        <w:pStyle w:val="Standard"/>
        <w:spacing w:after="200" w:line="276" w:lineRule="auto"/>
        <w:rPr>
          <w:rFonts w:ascii="Calibri" w:hAnsi="Calibri"/>
          <w:color w:val="00000A"/>
          <w:sz w:val="22"/>
        </w:rPr>
      </w:pPr>
    </w:p>
    <w:p w:rsidR="008F2547" w:rsidRDefault="008F2547">
      <w:pPr>
        <w:pStyle w:val="Standard"/>
        <w:spacing w:after="200" w:line="276" w:lineRule="auto"/>
        <w:rPr>
          <w:rFonts w:ascii="Calibri" w:hAnsi="Calibri"/>
          <w:color w:val="00000A"/>
          <w:sz w:val="22"/>
        </w:rPr>
      </w:pPr>
    </w:p>
    <w:p w:rsidR="008F2547" w:rsidRDefault="008F2547">
      <w:pPr>
        <w:pStyle w:val="Standard"/>
        <w:spacing w:after="200" w:line="276" w:lineRule="auto"/>
        <w:rPr>
          <w:rFonts w:ascii="Calibri" w:hAnsi="Calibri"/>
          <w:color w:val="00000A"/>
          <w:sz w:val="22"/>
        </w:rPr>
      </w:pPr>
    </w:p>
    <w:p w:rsidR="008F2547" w:rsidRDefault="008F2547">
      <w:pPr>
        <w:pStyle w:val="Standard"/>
        <w:spacing w:after="200" w:line="276" w:lineRule="auto"/>
        <w:rPr>
          <w:rFonts w:ascii="Calibri" w:hAnsi="Calibri"/>
          <w:color w:val="00000A"/>
          <w:sz w:val="22"/>
        </w:rPr>
      </w:pPr>
    </w:p>
    <w:p w:rsidR="008F2547" w:rsidRDefault="008F2547">
      <w:pPr>
        <w:pStyle w:val="Standard"/>
        <w:spacing w:after="200" w:line="276" w:lineRule="auto"/>
        <w:rPr>
          <w:rFonts w:ascii="Calibri" w:hAnsi="Calibri"/>
          <w:color w:val="00000A"/>
          <w:sz w:val="22"/>
        </w:rPr>
      </w:pPr>
    </w:p>
    <w:p w:rsidR="008F2547" w:rsidRDefault="008F2547">
      <w:pPr>
        <w:pStyle w:val="Standard"/>
        <w:spacing w:after="200" w:line="276" w:lineRule="auto"/>
        <w:rPr>
          <w:rFonts w:ascii="Calibri" w:hAnsi="Calibri"/>
          <w:color w:val="00000A"/>
          <w:sz w:val="22"/>
        </w:rPr>
      </w:pPr>
    </w:p>
    <w:p w:rsidR="008F2547" w:rsidRDefault="008F2547">
      <w:pPr>
        <w:pStyle w:val="Standard"/>
        <w:spacing w:after="200" w:line="276" w:lineRule="auto"/>
        <w:rPr>
          <w:rFonts w:ascii="Calibri" w:hAnsi="Calibri"/>
          <w:color w:val="00000A"/>
          <w:sz w:val="22"/>
        </w:rPr>
      </w:pPr>
    </w:p>
    <w:p w:rsidR="008F2547" w:rsidRDefault="003B4AF3">
      <w:pPr>
        <w:pStyle w:val="Standard"/>
        <w:ind w:left="2832" w:firstLine="708"/>
        <w:rPr>
          <w:b/>
          <w:color w:val="00000A"/>
          <w:sz w:val="28"/>
          <w:u w:val="single"/>
        </w:rPr>
      </w:pPr>
      <w:r>
        <w:rPr>
          <w:b/>
          <w:color w:val="00000A"/>
          <w:sz w:val="28"/>
          <w:u w:val="single"/>
        </w:rPr>
        <w:lastRenderedPageBreak/>
        <w:t>SADRŽAJ</w:t>
      </w:r>
    </w:p>
    <w:p w:rsidR="008F2547" w:rsidRDefault="008F2547">
      <w:pPr>
        <w:pStyle w:val="Standard"/>
        <w:ind w:left="2832" w:firstLine="708"/>
        <w:rPr>
          <w:b/>
          <w:color w:val="00000A"/>
          <w:sz w:val="28"/>
        </w:rPr>
      </w:pPr>
    </w:p>
    <w:p w:rsidR="008F2547" w:rsidRDefault="008F2547">
      <w:pPr>
        <w:pStyle w:val="Standard"/>
        <w:ind w:left="2832" w:firstLine="708"/>
        <w:rPr>
          <w:b/>
          <w:color w:val="00000A"/>
          <w:sz w:val="28"/>
        </w:rPr>
      </w:pPr>
    </w:p>
    <w:p w:rsidR="008F2547" w:rsidRDefault="008F2547">
      <w:pPr>
        <w:pStyle w:val="Standard"/>
        <w:ind w:left="720"/>
        <w:rPr>
          <w:b/>
          <w:color w:val="00000A"/>
        </w:rPr>
      </w:pPr>
    </w:p>
    <w:p w:rsidR="008F2547" w:rsidRDefault="003B4AF3">
      <w:pPr>
        <w:pStyle w:val="Standard"/>
        <w:rPr>
          <w:b/>
          <w:color w:val="00000A"/>
        </w:rPr>
      </w:pPr>
      <w:r>
        <w:rPr>
          <w:b/>
          <w:color w:val="00000A"/>
        </w:rPr>
        <w:t>1.ZAPOSLENICI</w:t>
      </w:r>
    </w:p>
    <w:p w:rsidR="008F2547" w:rsidRDefault="008F2547">
      <w:pPr>
        <w:pStyle w:val="Standard"/>
        <w:rPr>
          <w:b/>
          <w:color w:val="00000A"/>
        </w:rPr>
      </w:pPr>
    </w:p>
    <w:p w:rsidR="008F2547" w:rsidRDefault="008F2547">
      <w:pPr>
        <w:pStyle w:val="Standard"/>
        <w:rPr>
          <w:b/>
          <w:color w:val="00000A"/>
        </w:rPr>
      </w:pPr>
    </w:p>
    <w:p w:rsidR="008F2547" w:rsidRDefault="008F2547">
      <w:pPr>
        <w:pStyle w:val="Standard"/>
        <w:rPr>
          <w:b/>
          <w:color w:val="00000A"/>
        </w:rPr>
      </w:pPr>
    </w:p>
    <w:p w:rsidR="008F2547" w:rsidRDefault="003B4AF3">
      <w:pPr>
        <w:pStyle w:val="Standard"/>
        <w:rPr>
          <w:b/>
          <w:color w:val="00000A"/>
        </w:rPr>
      </w:pPr>
      <w:r>
        <w:rPr>
          <w:b/>
          <w:color w:val="00000A"/>
        </w:rPr>
        <w:t>2.PRIHODI</w:t>
      </w:r>
    </w:p>
    <w:p w:rsidR="008F2547" w:rsidRDefault="008F2547">
      <w:pPr>
        <w:pStyle w:val="Standard"/>
        <w:rPr>
          <w:b/>
          <w:color w:val="00000A"/>
        </w:rPr>
      </w:pPr>
    </w:p>
    <w:p w:rsidR="008F2547" w:rsidRDefault="008F2547">
      <w:pPr>
        <w:pStyle w:val="Standard"/>
        <w:rPr>
          <w:b/>
          <w:color w:val="00000A"/>
        </w:rPr>
      </w:pPr>
    </w:p>
    <w:p w:rsidR="008F2547" w:rsidRDefault="008F2547">
      <w:pPr>
        <w:pStyle w:val="Standard"/>
        <w:rPr>
          <w:b/>
          <w:color w:val="00000A"/>
        </w:rPr>
      </w:pPr>
    </w:p>
    <w:p w:rsidR="008F2547" w:rsidRDefault="003B4AF3">
      <w:pPr>
        <w:pStyle w:val="Standard"/>
        <w:rPr>
          <w:b/>
          <w:color w:val="00000A"/>
        </w:rPr>
      </w:pPr>
      <w:r>
        <w:rPr>
          <w:b/>
          <w:color w:val="00000A"/>
        </w:rPr>
        <w:t>3. RASHODI</w:t>
      </w:r>
    </w:p>
    <w:p w:rsidR="008F2547" w:rsidRDefault="008F2547">
      <w:pPr>
        <w:pStyle w:val="Standard"/>
        <w:rPr>
          <w:b/>
          <w:color w:val="00000A"/>
        </w:rPr>
      </w:pPr>
    </w:p>
    <w:p w:rsidR="008F2547" w:rsidRDefault="008F2547">
      <w:pPr>
        <w:pStyle w:val="Standard"/>
        <w:rPr>
          <w:b/>
          <w:color w:val="00000A"/>
        </w:rPr>
      </w:pPr>
    </w:p>
    <w:p w:rsidR="008F2547" w:rsidRDefault="008F2547">
      <w:pPr>
        <w:pStyle w:val="Standard"/>
        <w:rPr>
          <w:b/>
          <w:color w:val="00000A"/>
        </w:rPr>
      </w:pPr>
    </w:p>
    <w:p w:rsidR="008F2547" w:rsidRDefault="003B4AF3">
      <w:pPr>
        <w:pStyle w:val="Standard"/>
        <w:rPr>
          <w:b/>
          <w:color w:val="00000A"/>
        </w:rPr>
      </w:pPr>
      <w:r>
        <w:rPr>
          <w:b/>
          <w:color w:val="00000A"/>
        </w:rPr>
        <w:t>4.ZAKLJUČNA</w:t>
      </w:r>
      <w:r>
        <w:rPr>
          <w:b/>
          <w:color w:val="00000A"/>
        </w:rPr>
        <w:t xml:space="preserve"> RAZMATRANJA</w:t>
      </w:r>
    </w:p>
    <w:p w:rsidR="008F2547" w:rsidRDefault="008F2547">
      <w:pPr>
        <w:pStyle w:val="Standard"/>
        <w:rPr>
          <w:color w:val="00000A"/>
          <w:sz w:val="40"/>
        </w:rPr>
      </w:pPr>
    </w:p>
    <w:p w:rsidR="008F2547" w:rsidRDefault="008F2547">
      <w:pPr>
        <w:pStyle w:val="Standard"/>
        <w:rPr>
          <w:color w:val="00000A"/>
          <w:sz w:val="40"/>
        </w:rPr>
      </w:pPr>
    </w:p>
    <w:p w:rsidR="008F2547" w:rsidRDefault="008F2547">
      <w:pPr>
        <w:pStyle w:val="Standard"/>
        <w:rPr>
          <w:color w:val="00000A"/>
          <w:sz w:val="40"/>
        </w:rPr>
      </w:pPr>
    </w:p>
    <w:p w:rsidR="008F2547" w:rsidRDefault="008F2547">
      <w:pPr>
        <w:pStyle w:val="Standard"/>
        <w:rPr>
          <w:color w:val="00000A"/>
          <w:sz w:val="40"/>
        </w:rPr>
      </w:pPr>
    </w:p>
    <w:p w:rsidR="008F2547" w:rsidRDefault="008F2547">
      <w:pPr>
        <w:pStyle w:val="Standard"/>
        <w:rPr>
          <w:color w:val="00000A"/>
          <w:sz w:val="40"/>
        </w:rPr>
      </w:pPr>
    </w:p>
    <w:p w:rsidR="008F2547" w:rsidRDefault="008F2547">
      <w:pPr>
        <w:pStyle w:val="Standard"/>
        <w:rPr>
          <w:color w:val="00000A"/>
          <w:sz w:val="40"/>
        </w:rPr>
      </w:pPr>
    </w:p>
    <w:p w:rsidR="008F2547" w:rsidRDefault="008F2547">
      <w:pPr>
        <w:pStyle w:val="Standard"/>
        <w:rPr>
          <w:color w:val="00000A"/>
          <w:sz w:val="40"/>
        </w:rPr>
      </w:pPr>
    </w:p>
    <w:p w:rsidR="008F2547" w:rsidRDefault="008F2547">
      <w:pPr>
        <w:pStyle w:val="Standard"/>
        <w:rPr>
          <w:color w:val="00000A"/>
          <w:sz w:val="40"/>
        </w:rPr>
      </w:pPr>
    </w:p>
    <w:p w:rsidR="008F2547" w:rsidRDefault="008F2547">
      <w:pPr>
        <w:pStyle w:val="Standard"/>
        <w:rPr>
          <w:color w:val="00000A"/>
          <w:sz w:val="40"/>
        </w:rPr>
      </w:pPr>
    </w:p>
    <w:p w:rsidR="008F2547" w:rsidRDefault="008F2547">
      <w:pPr>
        <w:pStyle w:val="Standard"/>
        <w:rPr>
          <w:color w:val="00000A"/>
          <w:sz w:val="40"/>
        </w:rPr>
      </w:pPr>
    </w:p>
    <w:p w:rsidR="008F2547" w:rsidRDefault="008F2547">
      <w:pPr>
        <w:pStyle w:val="Standard"/>
        <w:rPr>
          <w:color w:val="00000A"/>
          <w:sz w:val="40"/>
        </w:rPr>
      </w:pPr>
    </w:p>
    <w:p w:rsidR="008F2547" w:rsidRDefault="008F2547">
      <w:pPr>
        <w:pStyle w:val="Standard"/>
        <w:spacing w:after="200" w:line="276" w:lineRule="auto"/>
        <w:rPr>
          <w:rFonts w:ascii="Calibri" w:hAnsi="Calibri"/>
          <w:color w:val="00000A"/>
          <w:sz w:val="22"/>
        </w:rPr>
      </w:pPr>
    </w:p>
    <w:p w:rsidR="008F2547" w:rsidRDefault="008F2547">
      <w:pPr>
        <w:pStyle w:val="Standard"/>
        <w:spacing w:after="200" w:line="276" w:lineRule="auto"/>
        <w:rPr>
          <w:rFonts w:ascii="Calibri" w:hAnsi="Calibri"/>
          <w:color w:val="00000A"/>
          <w:sz w:val="22"/>
        </w:rPr>
      </w:pPr>
    </w:p>
    <w:p w:rsidR="008F2547" w:rsidRDefault="008F2547">
      <w:pPr>
        <w:pStyle w:val="Standard"/>
        <w:spacing w:after="200" w:line="276" w:lineRule="auto"/>
        <w:rPr>
          <w:rFonts w:ascii="Calibri" w:hAnsi="Calibri"/>
          <w:color w:val="00000A"/>
          <w:sz w:val="22"/>
        </w:rPr>
      </w:pPr>
    </w:p>
    <w:p w:rsidR="008F2547" w:rsidRDefault="008F2547">
      <w:pPr>
        <w:pStyle w:val="Standard"/>
        <w:spacing w:after="200" w:line="276" w:lineRule="auto"/>
        <w:rPr>
          <w:rFonts w:ascii="Calibri" w:hAnsi="Calibri"/>
          <w:color w:val="00000A"/>
          <w:sz w:val="22"/>
        </w:rPr>
      </w:pPr>
    </w:p>
    <w:p w:rsidR="008F2547" w:rsidRDefault="008F2547">
      <w:pPr>
        <w:pStyle w:val="Standard"/>
        <w:spacing w:after="200" w:line="276" w:lineRule="auto"/>
        <w:rPr>
          <w:rFonts w:ascii="Calibri" w:hAnsi="Calibri"/>
          <w:color w:val="00000A"/>
          <w:sz w:val="22"/>
        </w:rPr>
      </w:pPr>
    </w:p>
    <w:p w:rsidR="008F2547" w:rsidRDefault="008F2547">
      <w:pPr>
        <w:pStyle w:val="Standard"/>
        <w:rPr>
          <w:color w:val="00000A"/>
          <w:sz w:val="40"/>
        </w:rPr>
      </w:pPr>
    </w:p>
    <w:p w:rsidR="008F2547" w:rsidRDefault="008F2547">
      <w:pPr>
        <w:pStyle w:val="Standard"/>
        <w:jc w:val="center"/>
        <w:rPr>
          <w:b/>
          <w:color w:val="00000A"/>
          <w:sz w:val="28"/>
          <w:u w:val="single"/>
        </w:rPr>
      </w:pPr>
    </w:p>
    <w:p w:rsidR="008F2547" w:rsidRDefault="008F2547">
      <w:pPr>
        <w:pStyle w:val="Standard"/>
        <w:jc w:val="center"/>
        <w:rPr>
          <w:b/>
          <w:color w:val="00000A"/>
          <w:sz w:val="28"/>
          <w:u w:val="single"/>
        </w:rPr>
      </w:pPr>
    </w:p>
    <w:p w:rsidR="008F2547" w:rsidRDefault="008F2547">
      <w:pPr>
        <w:pStyle w:val="Standard"/>
        <w:jc w:val="center"/>
        <w:rPr>
          <w:b/>
          <w:color w:val="00000A"/>
          <w:sz w:val="28"/>
          <w:u w:val="single"/>
        </w:rPr>
      </w:pPr>
    </w:p>
    <w:p w:rsidR="008F2547" w:rsidRDefault="003B4AF3">
      <w:pPr>
        <w:pStyle w:val="Standard"/>
        <w:jc w:val="center"/>
        <w:rPr>
          <w:b/>
          <w:color w:val="00000A"/>
          <w:sz w:val="28"/>
          <w:u w:val="single"/>
        </w:rPr>
      </w:pPr>
      <w:r>
        <w:rPr>
          <w:b/>
          <w:color w:val="00000A"/>
          <w:sz w:val="28"/>
          <w:u w:val="single"/>
        </w:rPr>
        <w:t>1. ZAPOSLENICI</w:t>
      </w:r>
    </w:p>
    <w:p w:rsidR="008F2547" w:rsidRDefault="008F2547">
      <w:pPr>
        <w:pStyle w:val="Standard"/>
        <w:ind w:left="360"/>
        <w:jc w:val="center"/>
        <w:rPr>
          <w:b/>
          <w:color w:val="00000A"/>
        </w:rPr>
      </w:pPr>
    </w:p>
    <w:p w:rsidR="008F2547" w:rsidRDefault="003B4AF3">
      <w:pPr>
        <w:pStyle w:val="Standard"/>
        <w:ind w:left="360"/>
        <w:rPr>
          <w:color w:val="00000A"/>
        </w:rPr>
      </w:pPr>
      <w:r>
        <w:rPr>
          <w:color w:val="00000A"/>
        </w:rPr>
        <w:lastRenderedPageBreak/>
        <w:t xml:space="preserve">Društvo Lošinj usluge d.o.o. iz Malog Lošinja je društvo ograničene odgovornosti za promet u vlasništvu Grada Malog Lošinja čija je temeljna djelatnost naplata parkirališnih površina na području Grada Malog </w:t>
      </w:r>
      <w:r>
        <w:rPr>
          <w:color w:val="00000A"/>
        </w:rPr>
        <w:t>Lošinja. Društvo Lošinj usluge d.o.o. zapošljava 25 radnika tokom cijele godine dok se tijekom ljetnih mjeseci  zapošljava još dodatnih 20 sezonskih djelatnika.</w:t>
      </w:r>
    </w:p>
    <w:p w:rsidR="008F2547" w:rsidRDefault="003B4AF3">
      <w:pPr>
        <w:pStyle w:val="Standard"/>
        <w:ind w:left="360"/>
        <w:rPr>
          <w:color w:val="00000A"/>
        </w:rPr>
      </w:pPr>
      <w:r>
        <w:rPr>
          <w:color w:val="00000A"/>
        </w:rPr>
        <w:t xml:space="preserve">Namjera je u 2019 godini  zadržati postojeći broj odnosno postoji mogućnost za otvaranje novih </w:t>
      </w:r>
      <w:r>
        <w:rPr>
          <w:color w:val="00000A"/>
        </w:rPr>
        <w:t>djelatnosti čime bi se po potrebi zaposli još djelatnika.</w:t>
      </w:r>
    </w:p>
    <w:p w:rsidR="008F2547" w:rsidRDefault="008F2547">
      <w:pPr>
        <w:pStyle w:val="Standard"/>
        <w:ind w:left="360"/>
        <w:rPr>
          <w:color w:val="00000A"/>
        </w:rPr>
      </w:pPr>
    </w:p>
    <w:p w:rsidR="008F2547" w:rsidRDefault="003B4AF3">
      <w:pPr>
        <w:pStyle w:val="Standard"/>
        <w:ind w:left="360"/>
        <w:rPr>
          <w:color w:val="00000A"/>
        </w:rPr>
      </w:pPr>
      <w:r>
        <w:rPr>
          <w:color w:val="00000A"/>
        </w:rPr>
        <w:t>Od ukupno 25 stalno zaposlenih djelatnika 17 ih ima ugovor na neodređeno a osam na određeno,a po stručnoj spremi  jedan djelatnik ima VSS visoku stručnu spremu ,četiri višu stručnu spremu (VŠS) , 1</w:t>
      </w:r>
      <w:r>
        <w:rPr>
          <w:color w:val="00000A"/>
        </w:rPr>
        <w:t>8 djelatnika ima srednju stručnu spremu (SSS) ,a dvoje nižu stručnu spremu (NSS).</w:t>
      </w:r>
    </w:p>
    <w:p w:rsidR="008F2547" w:rsidRDefault="008F2547">
      <w:pPr>
        <w:pStyle w:val="Standard"/>
        <w:ind w:left="360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ind w:left="360"/>
      </w:pPr>
      <w:r>
        <w:rPr>
          <w:color w:val="00000A"/>
        </w:rPr>
        <w:t>  </w:t>
      </w:r>
      <w:r>
        <w:rPr>
          <w:b/>
          <w:color w:val="00000A"/>
          <w:u w:val="single"/>
        </w:rPr>
        <w:t>NAZIVI RADNIH MJESTA ZAPOSLENIKA LOŠINJ USLUGA d.o.o. U 2018 GODINI</w:t>
      </w:r>
    </w:p>
    <w:p w:rsidR="008F2547" w:rsidRDefault="008F2547">
      <w:pPr>
        <w:pStyle w:val="Standard"/>
        <w:ind w:left="360"/>
        <w:rPr>
          <w:color w:val="00000A"/>
          <w:u w:val="single"/>
        </w:rPr>
      </w:pPr>
    </w:p>
    <w:p w:rsidR="008F2547" w:rsidRDefault="008F2547">
      <w:pPr>
        <w:pStyle w:val="Standard"/>
        <w:ind w:left="360"/>
        <w:rPr>
          <w:color w:val="00000A"/>
        </w:rPr>
      </w:pPr>
    </w:p>
    <w:tbl>
      <w:tblPr>
        <w:tblW w:w="9585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2517"/>
        <w:gridCol w:w="1308"/>
        <w:gridCol w:w="1786"/>
        <w:gridCol w:w="1416"/>
        <w:gridCol w:w="1790"/>
      </w:tblGrid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RED.BR.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RADNO</w:t>
            </w:r>
          </w:p>
          <w:p w:rsidR="008F2547" w:rsidRDefault="003B4AF3">
            <w:pPr>
              <w:pStyle w:val="Standard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MJESTO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STRUČNA</w:t>
            </w:r>
          </w:p>
          <w:p w:rsidR="008F2547" w:rsidRDefault="003B4AF3">
            <w:pPr>
              <w:pStyle w:val="Standard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SPREMA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ZANIMANJE,</w:t>
            </w:r>
          </w:p>
          <w:p w:rsidR="008F2547" w:rsidRDefault="003B4AF3">
            <w:pPr>
              <w:pStyle w:val="Standard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ZVANJE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RADNO</w:t>
            </w:r>
          </w:p>
          <w:p w:rsidR="008F2547" w:rsidRDefault="003B4AF3">
            <w:pPr>
              <w:pStyle w:val="Standard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ISKUSTVO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BROJ</w:t>
            </w:r>
          </w:p>
          <w:p w:rsidR="008F2547" w:rsidRDefault="003B4AF3">
            <w:pPr>
              <w:pStyle w:val="Standard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IZVRŠITELJA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 1.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DIREKTOR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VSS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PROMETNI, PRAVNI,EKONOMSKI SMJER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5 GODINA</w:t>
            </w:r>
          </w:p>
          <w:p w:rsidR="008F2547" w:rsidRDefault="008F2547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 xml:space="preserve">           1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VODITELJ</w:t>
            </w:r>
          </w:p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ADMINISTRATIVNIH</w:t>
            </w:r>
          </w:p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POSLOVA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VŠS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EKONOMSKI SMJER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3 GODINE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3.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VODITELJ KOMUNALNIH DJELATNOSTI</w:t>
            </w:r>
          </w:p>
        </w:tc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VŠS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GRAĐEVINSKI SMJER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3 GODINE</w:t>
            </w:r>
          </w:p>
        </w:tc>
        <w:tc>
          <w:tcPr>
            <w:tcW w:w="1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KORDINATOR KOMUNALNIH DJELATNOSTI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VŠS/SSS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GRAĐEVINSKI,EKONOMSKI SMJER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3 GODINE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KONTROLOR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SSS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TEHNIČKI SMJER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3 GODINE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5.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SERVISER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SSS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STROJAR, ELEKTROMONTER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3 GODINE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6.</w:t>
            </w:r>
          </w:p>
          <w:p w:rsidR="008F2547" w:rsidRDefault="008F2547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DJELATNIK KOMUNALNOG PROGRAMA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SSS/NKV/KV/VKV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SVA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 xml:space="preserve">   2 GODINE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7.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 xml:space="preserve">NAPLATNIČAR U ZATVORENIM I OTVORENIM PARK. </w:t>
            </w:r>
            <w:r>
              <w:rPr>
                <w:color w:val="00000A"/>
              </w:rPr>
              <w:t>SUSTAVIMA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SSS/NKV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SVA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/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4/32-sez</w:t>
            </w:r>
          </w:p>
        </w:tc>
      </w:tr>
    </w:tbl>
    <w:p w:rsidR="008F2547" w:rsidRDefault="008F2547">
      <w:pPr>
        <w:pStyle w:val="Standard"/>
        <w:rPr>
          <w:color w:val="00000A"/>
          <w:sz w:val="40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jc w:val="center"/>
        <w:rPr>
          <w:b/>
          <w:color w:val="00000A"/>
          <w:sz w:val="32"/>
          <w:szCs w:val="32"/>
        </w:rPr>
      </w:pPr>
      <w:r>
        <w:rPr>
          <w:b/>
          <w:color w:val="00000A"/>
          <w:sz w:val="32"/>
          <w:szCs w:val="32"/>
        </w:rPr>
        <w:t>2. PRIHODI</w:t>
      </w:r>
    </w:p>
    <w:p w:rsidR="008F2547" w:rsidRDefault="008F2547">
      <w:pPr>
        <w:pStyle w:val="Standard"/>
        <w:jc w:val="center"/>
        <w:rPr>
          <w:color w:val="00000A"/>
          <w:sz w:val="32"/>
          <w:szCs w:val="32"/>
        </w:rPr>
      </w:pPr>
    </w:p>
    <w:tbl>
      <w:tblPr>
        <w:tblW w:w="8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738"/>
        <w:gridCol w:w="3345"/>
      </w:tblGrid>
      <w:tr w:rsidR="008F254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2.1.</w:t>
            </w:r>
          </w:p>
        </w:tc>
        <w:tc>
          <w:tcPr>
            <w:tcW w:w="4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VRSTA PRIHODA</w:t>
            </w:r>
          </w:p>
          <w:p w:rsidR="008F2547" w:rsidRDefault="003B4AF3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PRIHOD OD KOMUNALNIH USLUGA</w:t>
            </w:r>
          </w:p>
        </w:tc>
        <w:tc>
          <w:tcPr>
            <w:tcW w:w="3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                   PLAN ZA 2019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1.</w:t>
            </w:r>
          </w:p>
        </w:tc>
        <w:tc>
          <w:tcPr>
            <w:tcW w:w="4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USLUGE PRIJEVOZA</w:t>
            </w:r>
          </w:p>
        </w:tc>
        <w:tc>
          <w:tcPr>
            <w:tcW w:w="3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jc w:val="right"/>
              <w:rPr>
                <w:color w:val="00000A"/>
              </w:rPr>
            </w:pPr>
            <w:r>
              <w:rPr>
                <w:color w:val="00000A"/>
              </w:rPr>
              <w:t xml:space="preserve">  135.000,00  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2.</w:t>
            </w:r>
          </w:p>
        </w:tc>
        <w:tc>
          <w:tcPr>
            <w:tcW w:w="4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ODRŽAVANJE JAVNIH POVRŠINA</w:t>
            </w:r>
          </w:p>
        </w:tc>
        <w:tc>
          <w:tcPr>
            <w:tcW w:w="3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jc w:val="right"/>
              <w:rPr>
                <w:color w:val="00000A"/>
              </w:rPr>
            </w:pPr>
            <w:r>
              <w:rPr>
                <w:color w:val="00000A"/>
              </w:rPr>
              <w:t>1.000.000,00 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3.</w:t>
            </w:r>
          </w:p>
        </w:tc>
        <w:tc>
          <w:tcPr>
            <w:tcW w:w="4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ODRŽAVANJE NERAZVRSTANIH CESTA</w:t>
            </w:r>
          </w:p>
        </w:tc>
        <w:tc>
          <w:tcPr>
            <w:tcW w:w="3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jc w:val="right"/>
            </w:pPr>
            <w:r>
              <w:rPr>
                <w:color w:val="00000A"/>
              </w:rPr>
              <w:t>830.000,00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4.</w:t>
            </w:r>
          </w:p>
        </w:tc>
        <w:tc>
          <w:tcPr>
            <w:tcW w:w="4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ODRŽAVANJE GRAĐEVINA ,UREĐAJA JAVNE NAMJENE</w:t>
            </w:r>
          </w:p>
        </w:tc>
        <w:tc>
          <w:tcPr>
            <w:tcW w:w="3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ind w:right="-30"/>
              <w:jc w:val="right"/>
            </w:pPr>
            <w:r>
              <w:rPr>
                <w:color w:val="00000A"/>
              </w:rPr>
              <w:t xml:space="preserve">                                    530.000,00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8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5.</w:t>
            </w:r>
          </w:p>
        </w:tc>
        <w:tc>
          <w:tcPr>
            <w:tcW w:w="4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</w:pPr>
            <w:r>
              <w:t>IZVRŠENI OSTALI RADOVI</w:t>
            </w:r>
          </w:p>
        </w:tc>
        <w:tc>
          <w:tcPr>
            <w:tcW w:w="3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jc w:val="right"/>
            </w:pPr>
            <w:r>
              <w:t>100.000,00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8F2547">
            <w:pPr>
              <w:pStyle w:val="Standard"/>
            </w:pPr>
          </w:p>
        </w:tc>
        <w:tc>
          <w:tcPr>
            <w:tcW w:w="4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8F2547">
            <w:pPr>
              <w:pStyle w:val="Standard"/>
            </w:pPr>
          </w:p>
        </w:tc>
        <w:tc>
          <w:tcPr>
            <w:tcW w:w="3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8F2547">
            <w:pPr>
              <w:pStyle w:val="Standard"/>
            </w:pP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8F2547">
            <w:pPr>
              <w:pStyle w:val="Standard"/>
              <w:rPr>
                <w:color w:val="00000A"/>
              </w:rPr>
            </w:pPr>
          </w:p>
        </w:tc>
        <w:tc>
          <w:tcPr>
            <w:tcW w:w="4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8F2547">
            <w:pPr>
              <w:pStyle w:val="Standard"/>
              <w:rPr>
                <w:color w:val="00000A"/>
              </w:rPr>
            </w:pPr>
          </w:p>
        </w:tc>
        <w:tc>
          <w:tcPr>
            <w:tcW w:w="3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8F2547">
            <w:pPr>
              <w:pStyle w:val="Standard"/>
              <w:jc w:val="right"/>
              <w:rPr>
                <w:color w:val="00000A"/>
              </w:rPr>
            </w:pP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8F2547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UKUPNO</w:t>
            </w:r>
          </w:p>
        </w:tc>
        <w:tc>
          <w:tcPr>
            <w:tcW w:w="3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jc w:val="right"/>
            </w:pPr>
            <w:r>
              <w:rPr>
                <w:color w:val="00000A"/>
              </w:rPr>
              <w:t>2.595.000,00</w:t>
            </w:r>
          </w:p>
        </w:tc>
      </w:tr>
    </w:tbl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Prihodi od komunalnih usluga planirani su u ukupnom iznosu od 2.595.000,00</w:t>
      </w:r>
      <w:r>
        <w:rPr>
          <w:color w:val="00000A"/>
        </w:rPr>
        <w:t xml:space="preserve"> kn odnosno 44% ukupnih planiranih prihoda. Radi se o izuzetno bitnim prihodima za Društvo iz razloga što se u velikom djelu prihodi ostvaruju izvan turističke sezone kada su prihodi od naplate parkirališnih površina svedene na minimum.</w:t>
      </w: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Usluge prijevoza u</w:t>
      </w:r>
      <w:r>
        <w:rPr>
          <w:color w:val="00000A"/>
        </w:rPr>
        <w:t xml:space="preserve"> iznosu od 135.000,00 kn odnose se na prijevoznu liniju Mali Lošinj-Mrtvaška financiranu od strane Grada Malog Lošinja.</w:t>
      </w: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Stavka 2. održavanje javnih površina na kojima nije dozvoljen promet motornim vozilima u iznosu od 1.000.000,00 kn obuhvaća radove sana</w:t>
      </w:r>
      <w:r>
        <w:rPr>
          <w:color w:val="00000A"/>
        </w:rPr>
        <w:t>cija ulica u pješačkim zonama ,sanacija oštećenja riva,sanacija poljskih puteva i biciklističkih staza,dohrana plaža,sanacija sunčališta,popravci puteva,slaganja gromaća...</w:t>
      </w: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Održavanje nerazvrstanih cesta obuhvaćaju poslove regulacije prometa,prometne sign</w:t>
      </w:r>
      <w:r>
        <w:rPr>
          <w:color w:val="00000A"/>
        </w:rPr>
        <w:t>alizacije te održavanje nerazvrstanih cesta popravci,asfaltiranja udarnih rupa...</w:t>
      </w: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Održavanje građevina te uređaja javne namjene stavka u iznosu od 530.000,00 kn odnosi se na održavanje fontana,čišćenje javnih wc-a,održavanje komunalne opreme,održavanje tur</w:t>
      </w:r>
      <w:r>
        <w:rPr>
          <w:color w:val="00000A"/>
        </w:rPr>
        <w:t>ističke signalizacije,održavanje autobusnih nadstrešnica i čekaonica,te održavanje plažne opreme.</w:t>
      </w: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Izvršene usluge ostali se odnosi na druge poslove koje angažiraju ostali subjekti.</w:t>
      </w: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ind w:left="360"/>
        <w:rPr>
          <w:b/>
          <w:color w:val="00000A"/>
          <w:sz w:val="28"/>
        </w:rPr>
      </w:pPr>
      <w:r>
        <w:rPr>
          <w:b/>
          <w:color w:val="00000A"/>
          <w:sz w:val="28"/>
        </w:rPr>
        <w:t>2.2. PRIHODI OD NAPLATA PARKIRALIŠNIH POVRŠINA</w:t>
      </w:r>
    </w:p>
    <w:tbl>
      <w:tblPr>
        <w:tblW w:w="9075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5431"/>
        <w:gridCol w:w="2831"/>
      </w:tblGrid>
      <w:tr w:rsidR="008F2547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8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54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b/>
                <w:color w:val="00000A"/>
                <w:sz w:val="32"/>
              </w:rPr>
            </w:pPr>
            <w:r>
              <w:rPr>
                <w:b/>
                <w:color w:val="00000A"/>
                <w:sz w:val="32"/>
              </w:rPr>
              <w:t>VRSTA PRIHODA</w:t>
            </w:r>
          </w:p>
          <w:p w:rsidR="008F2547" w:rsidRDefault="003B4AF3">
            <w:pPr>
              <w:pStyle w:val="Standard"/>
              <w:rPr>
                <w:b/>
                <w:color w:val="00000A"/>
                <w:sz w:val="32"/>
              </w:rPr>
            </w:pPr>
            <w:r>
              <w:rPr>
                <w:b/>
                <w:color w:val="00000A"/>
                <w:sz w:val="32"/>
              </w:rPr>
              <w:t xml:space="preserve">PRIHOD </w:t>
            </w:r>
            <w:r>
              <w:rPr>
                <w:b/>
                <w:color w:val="00000A"/>
                <w:sz w:val="32"/>
              </w:rPr>
              <w:t>OD NAPLATE PARKIRALIŠNIH POVRŠINA</w:t>
            </w:r>
          </w:p>
        </w:tc>
        <w:tc>
          <w:tcPr>
            <w:tcW w:w="28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 xml:space="preserve">    PLAN ZA 2019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1.</w:t>
            </w:r>
          </w:p>
        </w:tc>
        <w:tc>
          <w:tcPr>
            <w:tcW w:w="54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PARKIRALIŠTE PRIKO</w:t>
            </w:r>
          </w:p>
        </w:tc>
        <w:tc>
          <w:tcPr>
            <w:tcW w:w="28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jc w:val="right"/>
            </w:pPr>
            <w:r>
              <w:rPr>
                <w:color w:val="00000A"/>
              </w:rPr>
              <w:t>700.000,00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2.</w:t>
            </w:r>
          </w:p>
        </w:tc>
        <w:tc>
          <w:tcPr>
            <w:tcW w:w="54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PARKIRALIŠTE NOVA OBALA</w:t>
            </w:r>
          </w:p>
        </w:tc>
        <w:tc>
          <w:tcPr>
            <w:tcW w:w="28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jc w:val="right"/>
            </w:pPr>
            <w:r>
              <w:rPr>
                <w:color w:val="00000A"/>
              </w:rPr>
              <w:t>                      380.000,00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3.</w:t>
            </w:r>
          </w:p>
        </w:tc>
        <w:tc>
          <w:tcPr>
            <w:tcW w:w="54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PARKIRALIŠTE BUDOVINA</w:t>
            </w:r>
          </w:p>
        </w:tc>
        <w:tc>
          <w:tcPr>
            <w:tcW w:w="28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jc w:val="right"/>
            </w:pPr>
            <w:r>
              <w:rPr>
                <w:color w:val="00000A"/>
              </w:rPr>
              <w:t>130.000,00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8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4.</w:t>
            </w:r>
          </w:p>
        </w:tc>
        <w:tc>
          <w:tcPr>
            <w:tcW w:w="54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GARAŽA BOČAC</w:t>
            </w:r>
          </w:p>
        </w:tc>
        <w:tc>
          <w:tcPr>
            <w:tcW w:w="28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ind w:right="-30"/>
              <w:jc w:val="right"/>
              <w:rPr>
                <w:color w:val="00000A"/>
              </w:rPr>
            </w:pPr>
            <w:r>
              <w:rPr>
                <w:color w:val="00000A"/>
              </w:rPr>
              <w:t xml:space="preserve">                            100.000,00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8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5.</w:t>
            </w:r>
          </w:p>
        </w:tc>
        <w:tc>
          <w:tcPr>
            <w:tcW w:w="54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 xml:space="preserve">MOBILNA </w:t>
            </w:r>
            <w:r>
              <w:rPr>
                <w:color w:val="00000A"/>
                <w:sz w:val="28"/>
              </w:rPr>
              <w:t>NAPLATA</w:t>
            </w:r>
          </w:p>
        </w:tc>
        <w:tc>
          <w:tcPr>
            <w:tcW w:w="28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jc w:val="right"/>
              <w:rPr>
                <w:color w:val="00000A"/>
              </w:rPr>
            </w:pPr>
            <w:r>
              <w:rPr>
                <w:color w:val="00000A"/>
              </w:rPr>
              <w:t xml:space="preserve">                        80.000,00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6.</w:t>
            </w:r>
          </w:p>
        </w:tc>
        <w:tc>
          <w:tcPr>
            <w:tcW w:w="54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PARKIRNI APARATI</w:t>
            </w:r>
          </w:p>
        </w:tc>
        <w:tc>
          <w:tcPr>
            <w:tcW w:w="28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jc w:val="right"/>
              <w:rPr>
                <w:color w:val="00000A"/>
              </w:rPr>
            </w:pPr>
            <w:r>
              <w:rPr>
                <w:color w:val="00000A"/>
              </w:rPr>
              <w:t>310.000,00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7.</w:t>
            </w:r>
          </w:p>
        </w:tc>
        <w:tc>
          <w:tcPr>
            <w:tcW w:w="54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REZ. PARK. MJESTA</w:t>
            </w:r>
          </w:p>
        </w:tc>
        <w:tc>
          <w:tcPr>
            <w:tcW w:w="28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jc w:val="right"/>
            </w:pPr>
            <w:r>
              <w:rPr>
                <w:color w:val="00000A"/>
              </w:rPr>
              <w:t>530.000,00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8.</w:t>
            </w:r>
          </w:p>
        </w:tc>
        <w:tc>
          <w:tcPr>
            <w:tcW w:w="54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DPK, PRETPLATE OTVORENI SUSTAV,PRIHOD TEREN</w:t>
            </w:r>
          </w:p>
        </w:tc>
        <w:tc>
          <w:tcPr>
            <w:tcW w:w="28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jc w:val="right"/>
              <w:rPr>
                <w:color w:val="00000A"/>
              </w:rPr>
            </w:pPr>
            <w:r>
              <w:rPr>
                <w:color w:val="00000A"/>
              </w:rPr>
              <w:t xml:space="preserve">                    375.000,00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9.</w:t>
            </w:r>
          </w:p>
        </w:tc>
        <w:tc>
          <w:tcPr>
            <w:tcW w:w="54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KARTICE I PRETPLATE ZATVORENI PARKINZI</w:t>
            </w:r>
          </w:p>
        </w:tc>
        <w:tc>
          <w:tcPr>
            <w:tcW w:w="28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jc w:val="right"/>
              <w:rPr>
                <w:color w:val="00000A"/>
              </w:rPr>
            </w:pPr>
            <w:r>
              <w:rPr>
                <w:color w:val="00000A"/>
              </w:rPr>
              <w:t>400.000,00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8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8F2547">
            <w:pPr>
              <w:pStyle w:val="Standard"/>
              <w:rPr>
                <w:color w:val="00000A"/>
                <w:sz w:val="28"/>
              </w:rPr>
            </w:pPr>
          </w:p>
        </w:tc>
        <w:tc>
          <w:tcPr>
            <w:tcW w:w="54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8F2547">
            <w:pPr>
              <w:pStyle w:val="Standard"/>
              <w:rPr>
                <w:color w:val="00000A"/>
                <w:sz w:val="28"/>
              </w:rPr>
            </w:pPr>
          </w:p>
        </w:tc>
        <w:tc>
          <w:tcPr>
            <w:tcW w:w="28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8F2547">
            <w:pPr>
              <w:pStyle w:val="Standard"/>
              <w:ind w:right="-30"/>
              <w:jc w:val="right"/>
              <w:rPr>
                <w:color w:val="00000A"/>
              </w:rPr>
            </w:pP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8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8F2547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4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UKUPNO</w:t>
            </w:r>
          </w:p>
        </w:tc>
        <w:tc>
          <w:tcPr>
            <w:tcW w:w="28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jc w:val="right"/>
            </w:pPr>
            <w:r>
              <w:rPr>
                <w:color w:val="00000A"/>
              </w:rPr>
              <w:t>3.0</w:t>
            </w:r>
            <w:r>
              <w:rPr>
                <w:color w:val="00000A"/>
              </w:rPr>
              <w:t>05.000,00</w:t>
            </w:r>
          </w:p>
        </w:tc>
      </w:tr>
    </w:tbl>
    <w:p w:rsidR="008F2547" w:rsidRDefault="003B4AF3">
      <w:pPr>
        <w:pStyle w:val="Standard"/>
        <w:rPr>
          <w:b/>
          <w:i/>
          <w:color w:val="00000A"/>
          <w:u w:val="single"/>
        </w:rPr>
      </w:pPr>
      <w:r>
        <w:rPr>
          <w:b/>
          <w:i/>
          <w:color w:val="00000A"/>
          <w:u w:val="single"/>
        </w:rPr>
        <w:t xml:space="preserve"> </w:t>
      </w:r>
    </w:p>
    <w:p w:rsidR="008F2547" w:rsidRDefault="008F2547">
      <w:pPr>
        <w:pStyle w:val="Standard"/>
        <w:rPr>
          <w:b/>
          <w:i/>
          <w:color w:val="00000A"/>
          <w:u w:val="single"/>
        </w:rPr>
      </w:pPr>
    </w:p>
    <w:p w:rsidR="008F2547" w:rsidRDefault="008F2547">
      <w:pPr>
        <w:pStyle w:val="Standard"/>
        <w:rPr>
          <w:b/>
          <w:i/>
          <w:color w:val="00000A"/>
          <w:u w:val="single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 xml:space="preserve">Prihod od naplate parkirališnih površina planiran je u iznosu od 3.005.000,00 kn te čini  nešto više od polovice ukupnih planiranih prihoda. Naravno da se radi o stavci koja je osnovni izvor prihoda te najveći dio prihoda se ostvari u </w:t>
      </w:r>
      <w:r>
        <w:rPr>
          <w:color w:val="00000A"/>
        </w:rPr>
        <w:t>ljetnom periodu.</w:t>
      </w: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Prihodi su planirani u okvirima 2018</w:t>
      </w:r>
      <w:r>
        <w:rPr>
          <w:color w:val="00000A"/>
        </w:rPr>
        <w:t xml:space="preserve"> godine i realno ih je i očekivati izuzev značajno lošije turističke sezone. Parkirališta u prosjeku rade maksimalno u mjesecu kolovozu kada je u vršnim satima maksimalna popunjenost na svim parkiralištima.</w:t>
      </w: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Prihodi od naplate parkirališta Priko je najveći</w:t>
      </w:r>
      <w:r>
        <w:rPr>
          <w:color w:val="00000A"/>
        </w:rPr>
        <w:t xml:space="preserve"> prihod koji iznosi 700.000,00 kn iz razloga što se radi o parkiralištu sa progresivnom tarifom. U mjesecu kolovozu uprihoduje se  oko 220.000,00 kn netto tj oko 275.000,00 kn brutto.</w:t>
      </w: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Prihodi od mobilne naplate odnose se na mobilno plaćanje na otvorenim p</w:t>
      </w:r>
      <w:r>
        <w:rPr>
          <w:color w:val="00000A"/>
        </w:rPr>
        <w:t>arkiralištima te iznose 80.000,00 kn.</w:t>
      </w: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Otvorena parkirališta gdje su postavljeni parkirni aparati ukupno uprihoduju 310.000,00 kn.</w:t>
      </w: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Prihod od DPK, te pretplate na otvorenom sustavu i prihod koji se ostvari od plaćanja parkinga u uredu a odnosi se na otvoren</w:t>
      </w:r>
      <w:r>
        <w:rPr>
          <w:color w:val="00000A"/>
        </w:rPr>
        <w:t>a parkirališta u planu iznosi 375.000,00 kn</w:t>
      </w: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jc w:val="center"/>
        <w:rPr>
          <w:b/>
          <w:color w:val="00000A"/>
          <w:sz w:val="28"/>
        </w:rPr>
      </w:pPr>
      <w:r>
        <w:rPr>
          <w:b/>
          <w:color w:val="00000A"/>
          <w:sz w:val="28"/>
        </w:rPr>
        <w:t>OSTALI PRIHODI</w:t>
      </w: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tbl>
      <w:tblPr>
        <w:tblW w:w="8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4637"/>
        <w:gridCol w:w="3046"/>
      </w:tblGrid>
      <w:tr w:rsidR="008F2547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8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 2.3.</w:t>
            </w:r>
          </w:p>
        </w:tc>
        <w:tc>
          <w:tcPr>
            <w:tcW w:w="46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</w:pPr>
            <w:r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28"/>
              </w:rPr>
              <w:t>VRSTA PRIHODA</w:t>
            </w:r>
          </w:p>
          <w:p w:rsidR="008F2547" w:rsidRDefault="003B4AF3">
            <w:pPr>
              <w:pStyle w:val="Standard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OSTALI PRIHODI</w:t>
            </w:r>
          </w:p>
        </w:tc>
        <w:tc>
          <w:tcPr>
            <w:tcW w:w="3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</w:pPr>
            <w:r>
              <w:rPr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PLAN ZA 2019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1.</w:t>
            </w:r>
          </w:p>
        </w:tc>
        <w:tc>
          <w:tcPr>
            <w:tcW w:w="46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PRIHOD OD NAJMA</w:t>
            </w:r>
          </w:p>
        </w:tc>
        <w:tc>
          <w:tcPr>
            <w:tcW w:w="3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jc w:val="right"/>
              <w:rPr>
                <w:color w:val="00000A"/>
              </w:rPr>
            </w:pPr>
            <w:r>
              <w:rPr>
                <w:color w:val="00000A"/>
              </w:rPr>
              <w:t>120.000,00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2.</w:t>
            </w:r>
          </w:p>
        </w:tc>
        <w:tc>
          <w:tcPr>
            <w:tcW w:w="46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PRIHOD OD MARKETINŠKIH USLUGA</w:t>
            </w:r>
          </w:p>
        </w:tc>
        <w:tc>
          <w:tcPr>
            <w:tcW w:w="3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jc w:val="right"/>
              <w:rPr>
                <w:color w:val="00000A"/>
              </w:rPr>
            </w:pPr>
            <w:r>
              <w:rPr>
                <w:color w:val="00000A"/>
              </w:rPr>
              <w:t>                      70.000,00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6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OSTALO NENAVEDENO</w:t>
            </w:r>
          </w:p>
        </w:tc>
        <w:tc>
          <w:tcPr>
            <w:tcW w:w="3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jc w:val="right"/>
              <w:rPr>
                <w:color w:val="00000A"/>
              </w:rPr>
            </w:pPr>
            <w:r>
              <w:rPr>
                <w:color w:val="00000A"/>
              </w:rPr>
              <w:t>50.000,00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8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8F2547">
            <w:pPr>
              <w:pStyle w:val="Standard"/>
              <w:rPr>
                <w:color w:val="00000A"/>
                <w:sz w:val="28"/>
              </w:rPr>
            </w:pPr>
          </w:p>
        </w:tc>
        <w:tc>
          <w:tcPr>
            <w:tcW w:w="46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8F2547">
            <w:pPr>
              <w:pStyle w:val="Standard"/>
              <w:rPr>
                <w:color w:val="00000A"/>
                <w:sz w:val="28"/>
              </w:rPr>
            </w:pPr>
          </w:p>
        </w:tc>
        <w:tc>
          <w:tcPr>
            <w:tcW w:w="3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ind w:right="-30"/>
              <w:jc w:val="right"/>
              <w:rPr>
                <w:color w:val="00000A"/>
              </w:rPr>
            </w:pPr>
            <w:r>
              <w:rPr>
                <w:color w:val="00000A"/>
              </w:rPr>
              <w:t xml:space="preserve">                                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8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8F2547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UKUPNO</w:t>
            </w:r>
          </w:p>
        </w:tc>
        <w:tc>
          <w:tcPr>
            <w:tcW w:w="3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547" w:rsidRDefault="003B4AF3">
            <w:pPr>
              <w:pStyle w:val="Standard"/>
              <w:jc w:val="right"/>
              <w:rPr>
                <w:color w:val="00000A"/>
              </w:rPr>
            </w:pPr>
            <w:r>
              <w:rPr>
                <w:color w:val="00000A"/>
              </w:rPr>
              <w:t>240.000,00</w:t>
            </w:r>
          </w:p>
        </w:tc>
      </w:tr>
    </w:tbl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Ostali prihodi su prihodi od najma stana,organizaciju sajmova,najam bine,adventskih kučica i ostalo te iznose 120.000,00 kn.</w:t>
      </w: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 xml:space="preserve">Prihod od marketiških usluga u iznosu od 70.000,00 kn planiran je od </w:t>
      </w:r>
      <w:r>
        <w:rPr>
          <w:color w:val="00000A"/>
        </w:rPr>
        <w:t>prihoda najma reklamnih prostora.</w:t>
      </w: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Ukupan planirani prihod u 2019 godini iznosi 5.840.000,00 kn.</w:t>
      </w: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jc w:val="center"/>
        <w:rPr>
          <w:b/>
          <w:color w:val="00000A"/>
          <w:sz w:val="28"/>
          <w:u w:val="single"/>
        </w:rPr>
      </w:pPr>
      <w:r>
        <w:rPr>
          <w:b/>
          <w:color w:val="00000A"/>
          <w:sz w:val="28"/>
          <w:u w:val="single"/>
        </w:rPr>
        <w:t>3. RASHODI</w:t>
      </w:r>
    </w:p>
    <w:p w:rsidR="008F2547" w:rsidRDefault="008F2547">
      <w:pPr>
        <w:pStyle w:val="Standard"/>
        <w:jc w:val="center"/>
        <w:rPr>
          <w:b/>
          <w:i/>
          <w:color w:val="00000A"/>
          <w:u w:val="single"/>
        </w:rPr>
      </w:pPr>
    </w:p>
    <w:tbl>
      <w:tblPr>
        <w:tblW w:w="7160" w:type="dxa"/>
        <w:tblInd w:w="-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  <w:gridCol w:w="2539"/>
      </w:tblGrid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VRSTA RASHODA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IZNOS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1.rashodi  osoblja</w:t>
            </w:r>
          </w:p>
          <w:p w:rsidR="008F2547" w:rsidRDefault="008F2547">
            <w:pPr>
              <w:pStyle w:val="Standard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2.973.000,00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1.1.  Neto plaće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</w:pPr>
            <w:r>
              <w:rPr>
                <w:color w:val="00000A"/>
              </w:rPr>
              <w:t>1.700.000,00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 xml:space="preserve">1.2. Doprinosi i porezi na </w:t>
            </w:r>
            <w:r>
              <w:rPr>
                <w:color w:val="00000A"/>
              </w:rPr>
              <w:t>plaću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</w:pPr>
            <w:r>
              <w:rPr>
                <w:color w:val="00000A"/>
              </w:rPr>
              <w:t xml:space="preserve">   920.000,00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1.3. Studenski ugovori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 100.000,00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1.4.Dnevnice za sl .putovanja i putni troškovi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  24.000,00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1.5. Troškovi prijevoza na posao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</w:pPr>
            <w:r>
              <w:rPr>
                <w:color w:val="00000A"/>
              </w:rPr>
              <w:t xml:space="preserve">   34.000,00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1.6. Troškovi školovanja i usavršavanja djelatnika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  15.000,00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 xml:space="preserve">1.7. </w:t>
            </w:r>
            <w:r>
              <w:rPr>
                <w:color w:val="00000A"/>
              </w:rPr>
              <w:t>troškovi liječničkih pregleda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1.8.  isplata ne oporezivog dijela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</w:pPr>
            <w:r>
              <w:rPr>
                <w:color w:val="00000A"/>
              </w:rPr>
              <w:t>150.000,00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1.9. zaštitna htz odjeća i obuća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1.10. naknade komisijama i nadzornom odboru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  <w:color w:val="00000A"/>
              </w:rPr>
              <w:t xml:space="preserve"> 2.Rashodi ureda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429.000,00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2.1. uredski materijal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15.000,00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2.2.usluge telefona i interneta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40.000,00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2.3.električna energija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</w:pPr>
            <w:r>
              <w:rPr>
                <w:color w:val="00000A"/>
              </w:rPr>
              <w:t>22.000,00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2.4.troškovi platnog prometa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35.000,00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2.5.poštanske usluge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12.000,00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2.6. hrt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6.000,00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2.7.članarine komore ,udruge,šume..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12.000,00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2.8.usluge izrade idejnih projekata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2.9.knjigovodstvene usluge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</w:pPr>
            <w:r>
              <w:rPr>
                <w:color w:val="00000A"/>
              </w:rPr>
              <w:t>60.000,00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2.10.odvjetničke usluge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40.000,00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2.11. bilježničke usluge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30.000,00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2.12,intelektualne i konzultantske usluge,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50.000,00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 xml:space="preserve">2.13.rashodi iz poslovnih </w:t>
            </w:r>
            <w:r>
              <w:rPr>
                <w:color w:val="00000A"/>
              </w:rPr>
              <w:t>odnosa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2.14.usluge vještačenja i revizije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2.15. Izrada prometnih rješenja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</w:pPr>
            <w:r>
              <w:rPr>
                <w:color w:val="00000A"/>
              </w:rPr>
              <w:t>5.000,00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2.16.troškovi smještaja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3.000,00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2.17.troškovi prezentacije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15.000,00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2.18.voda i komunalne usluge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20.000,00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 xml:space="preserve">2.19.usluge zakupa </w:t>
            </w:r>
            <w:r>
              <w:rPr>
                <w:color w:val="00000A"/>
              </w:rPr>
              <w:t>prostora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2.20. darovanje,sufinanciranja udruge,klubovi....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15.000,00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3.Rashod od održavanja</w:t>
            </w:r>
          </w:p>
          <w:p w:rsidR="008F2547" w:rsidRDefault="008F2547">
            <w:pPr>
              <w:pStyle w:val="Standard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2.325.000,00</w:t>
            </w:r>
          </w:p>
          <w:p w:rsidR="008F2547" w:rsidRDefault="008F2547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3.1. materijal za čišćenje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25.000,00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3.2.održavanje sustava i softvera,sms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40.000,00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3.3. sitni inventar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100.000,00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3.4.rezervni dijelovi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50.000,00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3.5. nabavljene usluge tekućeg održavanja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400.000,00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3.6.registracije i servisi te porezi na vozila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25.000,00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3.7. osiguranje djelatnosti i imovine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65.000,00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3.8.trošak sirovina i materijala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350.000,00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3.9.amortizacija materijalne imovine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420.000,00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3.10. usluge kooperanata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</w:pPr>
            <w:r>
              <w:rPr>
                <w:color w:val="00000A"/>
              </w:rPr>
              <w:t>650.000,00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3.11. usluge prijevoza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120.000,00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3.12. ostali utrošeni materijal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3.13.najam opreme za naplatu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 xml:space="preserve">3.14.termo role i kartice te usluge </w:t>
            </w:r>
            <w:r>
              <w:rPr>
                <w:color w:val="00000A"/>
              </w:rPr>
              <w:t>tiska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5.000,00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3.15. gorivo</w:t>
            </w:r>
          </w:p>
          <w:p w:rsidR="008F2547" w:rsidRDefault="008F2547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55.000,00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4. rashod od kamata</w:t>
            </w:r>
          </w:p>
          <w:p w:rsidR="008F2547" w:rsidRDefault="008F2547">
            <w:pPr>
              <w:pStyle w:val="Standard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4.1. kamate od kreditnog zaduženja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100.000,00 kn</w:t>
            </w:r>
          </w:p>
        </w:tc>
      </w:tr>
      <w:tr w:rsidR="008F25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Rashodi ukupno</w:t>
            </w:r>
          </w:p>
        </w:tc>
        <w:tc>
          <w:tcPr>
            <w:tcW w:w="25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47" w:rsidRDefault="003B4AF3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5.827.000,00 kn</w:t>
            </w:r>
          </w:p>
        </w:tc>
      </w:tr>
    </w:tbl>
    <w:p w:rsidR="008F2547" w:rsidRDefault="008F2547">
      <w:pPr>
        <w:pStyle w:val="Standard"/>
        <w:rPr>
          <w:b/>
          <w:i/>
          <w:color w:val="00000A"/>
          <w:u w:val="single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 xml:space="preserve">Rashodovna strana koncipirana je na rashode osoblja u iznosu od 2.973.000,00 kn što čini </w:t>
      </w:r>
      <w:r>
        <w:rPr>
          <w:color w:val="00000A"/>
        </w:rPr>
        <w:t>polovicu ukupnih troškova. U vrijeme sezone planiramo raditi u kapacitetima od  40-ak djelatnika od čega je jedan dio zaposlen preko studentskih i školskih ugovora. U zimskim mjesecima planiramo ostati na 25 zaposlenika.</w:t>
      </w: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Rashodi ureda planirani su u iznos</w:t>
      </w:r>
      <w:r>
        <w:rPr>
          <w:color w:val="00000A"/>
        </w:rPr>
        <w:t>u od 429.000,00 kn.</w:t>
      </w: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U rashodima ureda su na primjer troškovi tj. knjigovodstvene usluge,intelektualne , bilježničke usluge, izrade prometnih rješenja,projekata,troškovi uredskog i ostalog materijala,režijski troškovi...</w:t>
      </w: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 xml:space="preserve">Rashodi od održavanja planirani </w:t>
      </w:r>
      <w:r>
        <w:rPr>
          <w:color w:val="00000A"/>
        </w:rPr>
        <w:t>su u iznosu od 2.325.000,00 kn i ona bi činila 40% ukupnih troškova poduzeća.</w:t>
      </w: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U troškovima održavanja nalaze se sve rashodi koji su nastali iz održavanja sustava parkirališta, terena, garaža te poslova i radova koji se odrade za Grad.</w:t>
      </w: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Stavka 3.10. su uslu</w:t>
      </w:r>
      <w:r>
        <w:rPr>
          <w:color w:val="00000A"/>
        </w:rPr>
        <w:t>ge kooperanata koje planiramo u iznosu od 650.000,00 kn a odnose se najviše na poslove koje se odrađuju za Grad Mali Lošinj npr. asfaltiranja, tj poslovi koje ne možemo obaviti sami zbog nemogućnosti obavljanja svih poslova (potrebna mehanizacija koju ne p</w:t>
      </w:r>
      <w:r>
        <w:rPr>
          <w:color w:val="00000A"/>
        </w:rPr>
        <w:t>osjedujemo).</w:t>
      </w: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Amortizacija materijalne imovine planirana je u iznosu od 420.000,00 kn.(uređaji,stojevi,bina,adventske kućice,rampe,vozila,tehnička oprema,parkirni aparati...)</w:t>
      </w: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Nabavljene usluge tekućeg održavanja odnose se direktno na trošak i uređenje pop</w:t>
      </w:r>
      <w:r>
        <w:rPr>
          <w:color w:val="00000A"/>
        </w:rPr>
        <w:t>ravaka kroz osnovno ili pojačano održavanje na parkiralištima a stavka u 2019 godini planirana je u iznosu od 400.000,00 kn</w:t>
      </w: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Ukupni rashodi u 2019 godini planirani su u iznosu od 5.827.000,00 kn</w:t>
      </w: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b/>
          <w:color w:val="00000A"/>
          <w:sz w:val="28"/>
        </w:rPr>
      </w:pPr>
    </w:p>
    <w:p w:rsidR="008F2547" w:rsidRDefault="008F2547">
      <w:pPr>
        <w:pStyle w:val="Standard"/>
        <w:rPr>
          <w:b/>
          <w:color w:val="00000A"/>
        </w:rPr>
      </w:pPr>
    </w:p>
    <w:p w:rsidR="008F2547" w:rsidRDefault="008F2547">
      <w:pPr>
        <w:pStyle w:val="Standard"/>
        <w:rPr>
          <w:b/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jc w:val="center"/>
        <w:rPr>
          <w:b/>
          <w:color w:val="00000A"/>
          <w:sz w:val="32"/>
        </w:rPr>
      </w:pPr>
    </w:p>
    <w:p w:rsidR="008F2547" w:rsidRDefault="008F2547">
      <w:pPr>
        <w:pStyle w:val="Standard"/>
        <w:jc w:val="center"/>
        <w:rPr>
          <w:b/>
          <w:color w:val="00000A"/>
          <w:sz w:val="32"/>
        </w:rPr>
      </w:pPr>
    </w:p>
    <w:p w:rsidR="008F2547" w:rsidRDefault="008F2547">
      <w:pPr>
        <w:pStyle w:val="Standard"/>
        <w:jc w:val="center"/>
        <w:rPr>
          <w:b/>
          <w:color w:val="00000A"/>
          <w:sz w:val="32"/>
        </w:rPr>
      </w:pPr>
    </w:p>
    <w:p w:rsidR="008F2547" w:rsidRDefault="008F2547">
      <w:pPr>
        <w:pStyle w:val="Standard"/>
        <w:jc w:val="center"/>
        <w:rPr>
          <w:b/>
          <w:color w:val="00000A"/>
          <w:sz w:val="32"/>
        </w:rPr>
      </w:pPr>
    </w:p>
    <w:p w:rsidR="008F2547" w:rsidRDefault="008F2547">
      <w:pPr>
        <w:pStyle w:val="Standard"/>
        <w:jc w:val="center"/>
        <w:rPr>
          <w:b/>
          <w:color w:val="00000A"/>
          <w:sz w:val="32"/>
        </w:rPr>
      </w:pPr>
    </w:p>
    <w:p w:rsidR="008F2547" w:rsidRDefault="003B4AF3">
      <w:pPr>
        <w:pStyle w:val="Standard"/>
        <w:jc w:val="center"/>
        <w:rPr>
          <w:b/>
          <w:color w:val="00000A"/>
          <w:sz w:val="32"/>
        </w:rPr>
      </w:pPr>
      <w:r>
        <w:rPr>
          <w:b/>
          <w:color w:val="00000A"/>
          <w:sz w:val="32"/>
        </w:rPr>
        <w:t>4. Zaključna razmatranja</w:t>
      </w:r>
    </w:p>
    <w:p w:rsidR="008F2547" w:rsidRDefault="008F2547">
      <w:pPr>
        <w:pStyle w:val="Standard"/>
        <w:jc w:val="center"/>
        <w:rPr>
          <w:b/>
          <w:color w:val="00000A"/>
          <w:sz w:val="32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 xml:space="preserve">Planirani prihodi za </w:t>
      </w:r>
      <w:r>
        <w:rPr>
          <w:color w:val="00000A"/>
        </w:rPr>
        <w:t>2019 godinu su u iznosu od 5.840.000,00 kn a rashodi 5.827.000,00 kn.</w:t>
      </w: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Lošinj usluge d.o.o. nakon 2009 godine i financijskog oporavka iz godine u godinu povećava i realizira veće prinose sredstava.</w:t>
      </w: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Najveći razlog tomu je stabilno poslovanje i prihodi od n</w:t>
      </w:r>
      <w:r>
        <w:rPr>
          <w:color w:val="00000A"/>
        </w:rPr>
        <w:t>aplate parkirališnih površina koje iz godine u godinu bilježi određeni porast. Porast prihoda nisu rezultati povećanja cijena parkiranja jer nekoliko godina cijene nisu povećane a ne planirano bitnije povećavati cijene niti u 2019 godini.</w:t>
      </w: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U 2019 godini p</w:t>
      </w:r>
      <w:r>
        <w:rPr>
          <w:color w:val="00000A"/>
        </w:rPr>
        <w:t>laniramo započeti sa projektom gradnje stanova na Kaštelu. Projekt same gradnje po projektantskim troškovnicima će biti vrijedan oko 1.800.000,00 kn bez PDV-a.</w:t>
      </w: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Od ostalih kapitalnih projekata u prvoj polovici 2019 godine planiramo započeti gradnju upravne</w:t>
      </w:r>
      <w:r>
        <w:rPr>
          <w:color w:val="00000A"/>
        </w:rPr>
        <w:t xml:space="preserve"> zgrade sa skladišnim prostorima a dovršetak gradnje planiran je koncem 2019 godine kada je i planirano preseljenje uprave i skladišnih prostora. Investicija je vrijedna po projektantskim troškovnicima 3.000.000,00 kn bez uračunatog PDV-a. U drugoj polovic</w:t>
      </w:r>
      <w:r>
        <w:rPr>
          <w:color w:val="00000A"/>
        </w:rPr>
        <w:t>i godine planiramo i započeti gradnju garažno parkirnog objekta koji bi po procjeni trebao biti dovršen do sezone 2020 godine. Projekt je planiran u zajedničkoj suradnji sa Gradom Malim Lošinjem.</w:t>
      </w: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U pogledu unaprjeđenja prometa u mirovanju u planu je nabav</w:t>
      </w:r>
      <w:r>
        <w:rPr>
          <w:color w:val="00000A"/>
        </w:rPr>
        <w:t>a 2 displeja i montaža na ferkfentnim mjestima o popunjenosti parkirališta.</w:t>
      </w: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Planira se i uvođenje prepaid kartica te povoljnija tarifa za korisnike parkirališta u ulici Ivana i Stjepana Vidulića u zimskim mjesecima.</w:t>
      </w: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Planiramo uređenje  parkirališta u Cres</w:t>
      </w:r>
      <w:r>
        <w:rPr>
          <w:color w:val="00000A"/>
        </w:rPr>
        <w:t>koj ulici, parkiralištu u Nerezinama kod groblja te ulici Lošinjskih pomoraca.</w:t>
      </w: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Planiramo proširiti djelatnosti na marketinške usluge tj. dovođenja u red reklamne i turističke signalizacije koja u ovom trenutku nije na nivou koji ovaj Grad zaslužuje.</w:t>
      </w: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Pose</w:t>
      </w:r>
      <w:r>
        <w:rPr>
          <w:color w:val="00000A"/>
        </w:rPr>
        <w:t>bnu pažnju ćemo posvetiti uređenju zapuštenih puteva uređenjem suhozida,krčenjem raslinja te  rezanjem-usitnjavanju drvene mase.Strojevi za obavljanje navedenog posla su nabavljeni koncem 2017 godine.</w:t>
      </w: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Kvalitetnim ulaganjima i organizacijom vjerujemo u rea</w:t>
      </w:r>
      <w:r>
        <w:rPr>
          <w:color w:val="00000A"/>
        </w:rPr>
        <w:t>lizaciju plana koji je predviđen za 2019 godinu.</w:t>
      </w: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  <w:rPr>
          <w:color w:val="00000A"/>
        </w:rPr>
      </w:pPr>
    </w:p>
    <w:p w:rsidR="008F2547" w:rsidRDefault="003B4AF3">
      <w:pPr>
        <w:pStyle w:val="Standard"/>
        <w:rPr>
          <w:color w:val="00000A"/>
        </w:rPr>
      </w:pPr>
      <w:r>
        <w:rPr>
          <w:color w:val="00000A"/>
        </w:rPr>
        <w:t>U Malom Lošinju 08.12.2018.</w:t>
      </w:r>
    </w:p>
    <w:p w:rsidR="008F2547" w:rsidRDefault="008F2547">
      <w:pPr>
        <w:pStyle w:val="Standard"/>
        <w:rPr>
          <w:color w:val="00000A"/>
        </w:rPr>
      </w:pPr>
    </w:p>
    <w:p w:rsidR="008F2547" w:rsidRDefault="008F2547">
      <w:pPr>
        <w:pStyle w:val="Standard"/>
      </w:pPr>
    </w:p>
    <w:sectPr w:rsidR="008F254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F3" w:rsidRDefault="003B4AF3">
      <w:r>
        <w:separator/>
      </w:r>
    </w:p>
  </w:endnote>
  <w:endnote w:type="continuationSeparator" w:id="0">
    <w:p w:rsidR="003B4AF3" w:rsidRDefault="003B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F3" w:rsidRDefault="003B4AF3">
      <w:r>
        <w:rPr>
          <w:color w:val="000000"/>
        </w:rPr>
        <w:ptab w:relativeTo="margin" w:alignment="center" w:leader="none"/>
      </w:r>
    </w:p>
  </w:footnote>
  <w:footnote w:type="continuationSeparator" w:id="0">
    <w:p w:rsidR="003B4AF3" w:rsidRDefault="003B4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2547"/>
    <w:rsid w:val="003B4AF3"/>
    <w:rsid w:val="008F2547"/>
    <w:rsid w:val="00F6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3</Pages>
  <Words>1756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Berny</dc:creator>
  <cp:lastModifiedBy>Berny</cp:lastModifiedBy>
  <cp:revision>1</cp:revision>
  <dcterms:created xsi:type="dcterms:W3CDTF">2009-04-16T11:32:00Z</dcterms:created>
  <dcterms:modified xsi:type="dcterms:W3CDTF">2019-12-31T10:16:00Z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